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331B" w:rsidRDefault="00A2331B" w:rsidP="00A2331B">
      <w:pPr>
        <w:pStyle w:val="aligncenter"/>
        <w:shd w:val="clear" w:color="auto" w:fill="FFFFFF"/>
        <w:spacing w:before="0" w:beforeAutospacing="0" w:after="0" w:afterAutospacing="0" w:line="450" w:lineRule="atLeast"/>
        <w:jc w:val="center"/>
        <w:outlineLvl w:val="1"/>
        <w:rPr>
          <w:rFonts w:ascii="Arial" w:hAnsi="Arial" w:cs="Arial"/>
          <w:b/>
          <w:bCs/>
          <w:color w:val="000000"/>
          <w:kern w:val="36"/>
          <w:sz w:val="30"/>
          <w:szCs w:val="30"/>
        </w:rPr>
      </w:pPr>
      <w:r>
        <w:rPr>
          <w:rFonts w:ascii="Arial" w:hAnsi="Arial" w:cs="Arial"/>
          <w:b/>
          <w:bCs/>
          <w:color w:val="000000"/>
          <w:kern w:val="36"/>
          <w:sz w:val="30"/>
          <w:szCs w:val="30"/>
        </w:rPr>
        <w:t>МИНИСТЕРСТВО ФИНАНСОВ РОССИЙСКОЙ ФЕДЕРАЦИИ</w:t>
      </w:r>
    </w:p>
    <w:p w:rsidR="00A2331B" w:rsidRDefault="00A2331B" w:rsidP="00A2331B">
      <w:pPr>
        <w:pStyle w:val="aligncenter"/>
        <w:shd w:val="clear" w:color="auto" w:fill="FFFFFF"/>
        <w:spacing w:before="0" w:beforeAutospacing="0" w:after="0" w:afterAutospacing="0" w:line="450" w:lineRule="atLeast"/>
        <w:jc w:val="center"/>
        <w:outlineLvl w:val="1"/>
        <w:rPr>
          <w:rFonts w:ascii="Arial" w:hAnsi="Arial" w:cs="Arial"/>
          <w:b/>
          <w:bCs/>
          <w:color w:val="000000"/>
          <w:kern w:val="36"/>
          <w:sz w:val="30"/>
          <w:szCs w:val="30"/>
        </w:rPr>
      </w:pPr>
      <w:r>
        <w:rPr>
          <w:rFonts w:ascii="Arial" w:hAnsi="Arial" w:cs="Arial"/>
          <w:b/>
          <w:bCs/>
          <w:color w:val="000000"/>
          <w:kern w:val="36"/>
          <w:sz w:val="30"/>
          <w:szCs w:val="30"/>
        </w:rPr>
        <w:t>ПИСЬМО</w:t>
      </w:r>
    </w:p>
    <w:p w:rsidR="00A2331B" w:rsidRDefault="00A2331B" w:rsidP="00A2331B">
      <w:pPr>
        <w:pStyle w:val="aligncenter"/>
        <w:shd w:val="clear" w:color="auto" w:fill="FFFFFF"/>
        <w:spacing w:before="210" w:beforeAutospacing="0" w:after="0" w:afterAutospacing="0" w:line="450" w:lineRule="atLeast"/>
        <w:jc w:val="center"/>
        <w:outlineLvl w:val="1"/>
        <w:rPr>
          <w:rFonts w:ascii="Arial" w:hAnsi="Arial" w:cs="Arial"/>
          <w:b/>
          <w:bCs/>
          <w:color w:val="000000"/>
          <w:kern w:val="36"/>
          <w:sz w:val="30"/>
          <w:szCs w:val="30"/>
        </w:rPr>
      </w:pPr>
      <w:r>
        <w:rPr>
          <w:rFonts w:ascii="Arial" w:hAnsi="Arial" w:cs="Arial"/>
          <w:b/>
          <w:bCs/>
          <w:color w:val="000000"/>
          <w:kern w:val="36"/>
          <w:sz w:val="30"/>
          <w:szCs w:val="30"/>
        </w:rPr>
        <w:t>от 20 июля 2022 г. N 03-04-07/70048</w:t>
      </w:r>
    </w:p>
    <w:p w:rsidR="00153E31" w:rsidRDefault="00153E31" w:rsidP="00A2331B">
      <w:pPr>
        <w:pStyle w:val="aligncenter"/>
        <w:shd w:val="clear" w:color="auto" w:fill="FFFFFF"/>
        <w:spacing w:before="210" w:beforeAutospacing="0" w:after="0" w:afterAutospacing="0" w:line="450" w:lineRule="atLeast"/>
        <w:jc w:val="center"/>
        <w:outlineLvl w:val="1"/>
        <w:rPr>
          <w:rFonts w:ascii="Arial" w:hAnsi="Arial" w:cs="Arial"/>
          <w:b/>
          <w:bCs/>
          <w:color w:val="000000"/>
          <w:kern w:val="36"/>
          <w:sz w:val="30"/>
          <w:szCs w:val="30"/>
        </w:rPr>
      </w:pPr>
    </w:p>
    <w:p w:rsidR="00A2331B" w:rsidRDefault="00A2331B" w:rsidP="00A2331B">
      <w:pPr>
        <w:pStyle w:val="a6"/>
        <w:shd w:val="clear" w:color="auto" w:fill="FFFFFF"/>
        <w:spacing w:before="0" w:beforeAutospacing="0" w:after="0" w:afterAutospacing="0"/>
        <w:ind w:firstLine="540"/>
        <w:jc w:val="both"/>
        <w:rPr>
          <w:color w:val="000000"/>
          <w:sz w:val="30"/>
          <w:szCs w:val="30"/>
        </w:rPr>
      </w:pPr>
      <w:r>
        <w:rPr>
          <w:color w:val="000000"/>
          <w:sz w:val="30"/>
          <w:szCs w:val="30"/>
        </w:rPr>
        <w:t>Департамент налоговой политики рассмотрел письмо по вопросу применения положений </w:t>
      </w:r>
      <w:hyperlink r:id="rId4" w:history="1">
        <w:r>
          <w:rPr>
            <w:rStyle w:val="a7"/>
            <w:rFonts w:eastAsiaTheme="minorEastAsia"/>
            <w:color w:val="1A0DAB"/>
            <w:sz w:val="30"/>
            <w:szCs w:val="30"/>
          </w:rPr>
          <w:t>главы 23</w:t>
        </w:r>
      </w:hyperlink>
      <w:r>
        <w:rPr>
          <w:color w:val="000000"/>
          <w:sz w:val="30"/>
          <w:szCs w:val="30"/>
        </w:rPr>
        <w:t> "Налог на доходы физических лиц" Налогового кодекса Российской Федерации (далее - Кодекс) и сообщает следующее.</w:t>
      </w:r>
    </w:p>
    <w:p w:rsidR="00A2331B" w:rsidRDefault="00A2331B" w:rsidP="00A2331B">
      <w:pPr>
        <w:pStyle w:val="a6"/>
        <w:shd w:val="clear" w:color="auto" w:fill="FFFFFF"/>
        <w:spacing w:before="210" w:beforeAutospacing="0" w:after="0" w:afterAutospacing="0"/>
        <w:ind w:firstLine="540"/>
        <w:jc w:val="both"/>
        <w:rPr>
          <w:color w:val="000000"/>
          <w:sz w:val="30"/>
          <w:szCs w:val="30"/>
        </w:rPr>
      </w:pPr>
      <w:proofErr w:type="gramStart"/>
      <w:r>
        <w:rPr>
          <w:color w:val="000000"/>
          <w:sz w:val="30"/>
          <w:szCs w:val="30"/>
        </w:rPr>
        <w:t>Согласно </w:t>
      </w:r>
      <w:hyperlink r:id="rId5" w:history="1">
        <w:r>
          <w:rPr>
            <w:rStyle w:val="a7"/>
            <w:rFonts w:eastAsiaTheme="minorEastAsia"/>
            <w:color w:val="1A0DAB"/>
            <w:sz w:val="30"/>
            <w:szCs w:val="30"/>
          </w:rPr>
          <w:t>пункту 17.1 статьи 217</w:t>
        </w:r>
      </w:hyperlink>
      <w:r>
        <w:rPr>
          <w:color w:val="000000"/>
          <w:sz w:val="30"/>
          <w:szCs w:val="30"/>
        </w:rPr>
        <w:t> и </w:t>
      </w:r>
      <w:hyperlink r:id="rId6" w:history="1">
        <w:r>
          <w:rPr>
            <w:rStyle w:val="a7"/>
            <w:rFonts w:eastAsiaTheme="minorEastAsia"/>
            <w:color w:val="1A0DAB"/>
            <w:sz w:val="30"/>
            <w:szCs w:val="30"/>
          </w:rPr>
          <w:t>пункту 2 статьи 217.1</w:t>
        </w:r>
      </w:hyperlink>
      <w:r>
        <w:rPr>
          <w:color w:val="000000"/>
          <w:sz w:val="30"/>
          <w:szCs w:val="30"/>
        </w:rPr>
        <w:t> Кодекса освобождаются от обложения налогом на доходы физических лиц доходы, получаемые физическими лицами за соответствующий налоговый период от продажи объектов недвижимого имущества, а также долей в указанном имуществе при условии, что такой объект находился в собственности налогоплательщика в течение минимального предельного срока владения объектом недвижимого имущества и более.</w:t>
      </w:r>
      <w:proofErr w:type="gramEnd"/>
    </w:p>
    <w:p w:rsidR="00A2331B" w:rsidRDefault="00A2331B" w:rsidP="00A2331B">
      <w:pPr>
        <w:pStyle w:val="a6"/>
        <w:shd w:val="clear" w:color="auto" w:fill="FFFFFF"/>
        <w:spacing w:before="210" w:beforeAutospacing="0" w:after="0" w:afterAutospacing="0"/>
        <w:ind w:firstLine="540"/>
        <w:jc w:val="both"/>
        <w:rPr>
          <w:color w:val="000000"/>
          <w:sz w:val="30"/>
          <w:szCs w:val="30"/>
        </w:rPr>
      </w:pPr>
      <w:hyperlink r:id="rId7" w:history="1">
        <w:r>
          <w:rPr>
            <w:rStyle w:val="a7"/>
            <w:rFonts w:eastAsiaTheme="minorEastAsia"/>
            <w:color w:val="1A0DAB"/>
            <w:sz w:val="30"/>
            <w:szCs w:val="30"/>
          </w:rPr>
          <w:t>Пунктом 4 статьи 217.1</w:t>
        </w:r>
      </w:hyperlink>
      <w:r>
        <w:rPr>
          <w:color w:val="000000"/>
          <w:sz w:val="30"/>
          <w:szCs w:val="30"/>
        </w:rPr>
        <w:t> Кодекса установлено, что минимальный предельный срок владения объектом недвижимого имущества составляет пять лет, за исключением случаев, указанных в </w:t>
      </w:r>
      <w:hyperlink r:id="rId8" w:history="1">
        <w:r>
          <w:rPr>
            <w:rStyle w:val="a7"/>
            <w:rFonts w:eastAsiaTheme="minorEastAsia"/>
            <w:color w:val="1A0DAB"/>
            <w:sz w:val="30"/>
            <w:szCs w:val="30"/>
          </w:rPr>
          <w:t>пункте 3 статьи 217.1</w:t>
        </w:r>
      </w:hyperlink>
      <w:r>
        <w:rPr>
          <w:color w:val="000000"/>
          <w:sz w:val="30"/>
          <w:szCs w:val="30"/>
        </w:rPr>
        <w:t> Кодекса.</w:t>
      </w:r>
    </w:p>
    <w:p w:rsidR="00A2331B" w:rsidRDefault="00A2331B" w:rsidP="00A2331B">
      <w:pPr>
        <w:pStyle w:val="a6"/>
        <w:shd w:val="clear" w:color="auto" w:fill="FFFFFF"/>
        <w:spacing w:before="210" w:beforeAutospacing="0" w:after="0" w:afterAutospacing="0"/>
        <w:ind w:firstLine="540"/>
        <w:jc w:val="both"/>
        <w:rPr>
          <w:color w:val="000000"/>
          <w:sz w:val="30"/>
          <w:szCs w:val="30"/>
        </w:rPr>
      </w:pPr>
      <w:proofErr w:type="gramStart"/>
      <w:r>
        <w:rPr>
          <w:color w:val="000000"/>
          <w:sz w:val="30"/>
          <w:szCs w:val="30"/>
        </w:rPr>
        <w:t>Так, на основании </w:t>
      </w:r>
      <w:hyperlink r:id="rId9" w:history="1">
        <w:r>
          <w:rPr>
            <w:rStyle w:val="a7"/>
            <w:rFonts w:eastAsiaTheme="minorEastAsia"/>
            <w:color w:val="1A0DAB"/>
            <w:sz w:val="30"/>
            <w:szCs w:val="30"/>
          </w:rPr>
          <w:t>подпункта 4 пункта 3 статьи 217.1</w:t>
        </w:r>
      </w:hyperlink>
      <w:r>
        <w:rPr>
          <w:color w:val="000000"/>
          <w:sz w:val="30"/>
          <w:szCs w:val="30"/>
        </w:rPr>
        <w:t> Кодекса минимальный предельный срок владения объектом недвижимого имущества составляет три года, в случае если в собственности налогоплательщика (включая совместную собственность супругов) на дату государственной регистрации перехода права собственности от налогоплательщика к покупателю на проданный объект недвижимого имущества в виде комнаты, квартиры, жилого дома, части квартиры, части жилого дома (далее - жилое помещение</w:t>
      </w:r>
      <w:proofErr w:type="gramEnd"/>
      <w:r>
        <w:rPr>
          <w:color w:val="000000"/>
          <w:sz w:val="30"/>
          <w:szCs w:val="30"/>
        </w:rPr>
        <w:t>) или доли в праве собственности на жилое помещение не находится иного жилого помещения (доли в праве собственности на жилое помещение).</w:t>
      </w:r>
    </w:p>
    <w:p w:rsidR="00A2331B" w:rsidRDefault="00A2331B" w:rsidP="00A2331B">
      <w:pPr>
        <w:pStyle w:val="a6"/>
        <w:shd w:val="clear" w:color="auto" w:fill="FFFFFF"/>
        <w:spacing w:before="210" w:beforeAutospacing="0" w:after="0" w:afterAutospacing="0"/>
        <w:ind w:firstLine="540"/>
        <w:jc w:val="both"/>
        <w:rPr>
          <w:color w:val="000000"/>
          <w:sz w:val="30"/>
          <w:szCs w:val="30"/>
        </w:rPr>
      </w:pPr>
      <w:proofErr w:type="gramStart"/>
      <w:r>
        <w:rPr>
          <w:color w:val="000000"/>
          <w:sz w:val="30"/>
          <w:szCs w:val="30"/>
        </w:rPr>
        <w:t>При этом на основании </w:t>
      </w:r>
      <w:hyperlink r:id="rId10" w:history="1">
        <w:r>
          <w:rPr>
            <w:rStyle w:val="a7"/>
            <w:rFonts w:eastAsiaTheme="minorEastAsia"/>
            <w:color w:val="1A0DAB"/>
            <w:sz w:val="30"/>
            <w:szCs w:val="30"/>
          </w:rPr>
          <w:t>абзаца второго подпункта 4 пункта 3 статьи 217.1</w:t>
        </w:r>
      </w:hyperlink>
      <w:r>
        <w:rPr>
          <w:color w:val="000000"/>
          <w:sz w:val="30"/>
          <w:szCs w:val="30"/>
        </w:rPr>
        <w:t> Кодекса в целях указанного </w:t>
      </w:r>
      <w:hyperlink r:id="rId11" w:history="1">
        <w:r>
          <w:rPr>
            <w:rStyle w:val="a7"/>
            <w:rFonts w:eastAsiaTheme="minorEastAsia"/>
            <w:color w:val="1A0DAB"/>
            <w:sz w:val="30"/>
            <w:szCs w:val="30"/>
          </w:rPr>
          <w:t>подпункта</w:t>
        </w:r>
      </w:hyperlink>
      <w:r>
        <w:rPr>
          <w:color w:val="000000"/>
          <w:sz w:val="30"/>
          <w:szCs w:val="30"/>
        </w:rPr>
        <w:t> не учитывается жилое помещение (доля в праве собственности на жилое помещение), приобретенное (приобретенная) в собственность налогоплательщика и (или) его супруга (супруги) в течение 90 календарных дней до даты государственной регистрации перехода права собственности на проданное жилое помещение (проданную долю в праве собственности на</w:t>
      </w:r>
      <w:proofErr w:type="gramEnd"/>
      <w:r>
        <w:rPr>
          <w:color w:val="000000"/>
          <w:sz w:val="30"/>
          <w:szCs w:val="30"/>
        </w:rPr>
        <w:t xml:space="preserve"> жилое помещение) от налогоплательщика к покупателю.</w:t>
      </w:r>
    </w:p>
    <w:p w:rsidR="00A2331B" w:rsidRDefault="00A2331B" w:rsidP="00A2331B">
      <w:pPr>
        <w:pStyle w:val="a6"/>
        <w:shd w:val="clear" w:color="auto" w:fill="FFFFFF"/>
        <w:spacing w:before="210" w:beforeAutospacing="0" w:after="0" w:afterAutospacing="0"/>
        <w:ind w:firstLine="540"/>
        <w:jc w:val="both"/>
        <w:rPr>
          <w:color w:val="000000"/>
          <w:sz w:val="30"/>
          <w:szCs w:val="30"/>
        </w:rPr>
      </w:pPr>
      <w:r>
        <w:rPr>
          <w:color w:val="000000"/>
          <w:sz w:val="30"/>
          <w:szCs w:val="30"/>
        </w:rPr>
        <w:lastRenderedPageBreak/>
        <w:t>В соответствии с </w:t>
      </w:r>
      <w:hyperlink r:id="rId12" w:anchor="dst246" w:history="1">
        <w:r>
          <w:rPr>
            <w:rStyle w:val="a7"/>
            <w:rFonts w:eastAsiaTheme="minorEastAsia"/>
            <w:color w:val="1A0DAB"/>
            <w:sz w:val="30"/>
            <w:szCs w:val="30"/>
          </w:rPr>
          <w:t>пунктом 2 статьи 8.1</w:t>
        </w:r>
      </w:hyperlink>
      <w:r>
        <w:rPr>
          <w:color w:val="000000"/>
          <w:sz w:val="30"/>
          <w:szCs w:val="30"/>
        </w:rPr>
        <w:t> Гражданского кодекса Российской Федерации права на имущество, подлежащие государственной регистрации, возникают, изменяются и прекращаются с момента внесения соответствующей записи в государственный реестр, если иное не установлено законом.</w:t>
      </w:r>
    </w:p>
    <w:p w:rsidR="00A2331B" w:rsidRDefault="00A2331B" w:rsidP="00A2331B">
      <w:pPr>
        <w:pStyle w:val="a6"/>
        <w:shd w:val="clear" w:color="auto" w:fill="FFFFFF"/>
        <w:spacing w:before="210" w:beforeAutospacing="0" w:after="0" w:afterAutospacing="0"/>
        <w:ind w:firstLine="540"/>
        <w:jc w:val="both"/>
        <w:rPr>
          <w:color w:val="000000"/>
          <w:sz w:val="30"/>
          <w:szCs w:val="30"/>
        </w:rPr>
      </w:pPr>
      <w:r>
        <w:rPr>
          <w:color w:val="000000"/>
          <w:sz w:val="30"/>
          <w:szCs w:val="30"/>
        </w:rPr>
        <w:t>На основании </w:t>
      </w:r>
      <w:hyperlink r:id="rId13" w:anchor="dst101196" w:history="1">
        <w:r>
          <w:rPr>
            <w:rStyle w:val="a7"/>
            <w:rFonts w:eastAsiaTheme="minorEastAsia"/>
            <w:color w:val="1A0DAB"/>
            <w:sz w:val="30"/>
            <w:szCs w:val="30"/>
          </w:rPr>
          <w:t>пункта 2 статьи 223</w:t>
        </w:r>
      </w:hyperlink>
      <w:r>
        <w:rPr>
          <w:color w:val="000000"/>
          <w:sz w:val="30"/>
          <w:szCs w:val="30"/>
        </w:rPr>
        <w:t> Гражданского кодекса Российской Федерации в случаях, когда отчуждение имущества подлежит государственной регистрации, право собственности у приобретателя возникает с момента такой регистрации, если иное не установлено законом.</w:t>
      </w:r>
    </w:p>
    <w:p w:rsidR="00A2331B" w:rsidRDefault="00A2331B" w:rsidP="00A2331B">
      <w:pPr>
        <w:pStyle w:val="a6"/>
        <w:shd w:val="clear" w:color="auto" w:fill="FFFFFF"/>
        <w:spacing w:before="210" w:beforeAutospacing="0" w:after="0" w:afterAutospacing="0"/>
        <w:ind w:firstLine="540"/>
        <w:jc w:val="both"/>
        <w:rPr>
          <w:color w:val="000000"/>
          <w:sz w:val="30"/>
          <w:szCs w:val="30"/>
        </w:rPr>
      </w:pPr>
      <w:r>
        <w:rPr>
          <w:color w:val="000000"/>
          <w:sz w:val="30"/>
          <w:szCs w:val="30"/>
        </w:rPr>
        <w:t>Вместе с тем для целей налогообложения порядок исчисления сроков, установленных законодательством о налогах и сборах, определен </w:t>
      </w:r>
      <w:hyperlink r:id="rId14" w:history="1">
        <w:r>
          <w:rPr>
            <w:rStyle w:val="a7"/>
            <w:rFonts w:eastAsiaTheme="minorEastAsia"/>
            <w:color w:val="1A0DAB"/>
            <w:sz w:val="30"/>
            <w:szCs w:val="30"/>
          </w:rPr>
          <w:t>Кодексом</w:t>
        </w:r>
      </w:hyperlink>
      <w:r>
        <w:rPr>
          <w:color w:val="000000"/>
          <w:sz w:val="30"/>
          <w:szCs w:val="30"/>
        </w:rPr>
        <w:t>.</w:t>
      </w:r>
    </w:p>
    <w:p w:rsidR="00A2331B" w:rsidRDefault="00A2331B" w:rsidP="00A2331B">
      <w:pPr>
        <w:pStyle w:val="a6"/>
        <w:shd w:val="clear" w:color="auto" w:fill="FFFFFF"/>
        <w:spacing w:before="210" w:beforeAutospacing="0" w:after="0" w:afterAutospacing="0"/>
        <w:ind w:firstLine="540"/>
        <w:jc w:val="both"/>
        <w:rPr>
          <w:color w:val="000000"/>
          <w:sz w:val="30"/>
          <w:szCs w:val="30"/>
        </w:rPr>
      </w:pPr>
      <w:proofErr w:type="gramStart"/>
      <w:r>
        <w:rPr>
          <w:color w:val="000000"/>
          <w:sz w:val="30"/>
          <w:szCs w:val="30"/>
        </w:rPr>
        <w:t>Так, сроки, установленные законодательством о налогах и сборах, определяются календарной датой, указанием на событие, которое должно неизбежно наступить, или на действие, которое должно быть совершено, либо периодом времени, который исчисляется годами, кварталами, месяцами или днями (</w:t>
      </w:r>
      <w:hyperlink r:id="rId15" w:history="1">
        <w:r>
          <w:rPr>
            <w:rStyle w:val="a7"/>
            <w:rFonts w:eastAsiaTheme="minorEastAsia"/>
            <w:color w:val="1A0DAB"/>
            <w:sz w:val="30"/>
            <w:szCs w:val="30"/>
          </w:rPr>
          <w:t>пункт 1 статьи 6.1</w:t>
        </w:r>
      </w:hyperlink>
      <w:r>
        <w:rPr>
          <w:color w:val="000000"/>
          <w:sz w:val="30"/>
          <w:szCs w:val="30"/>
        </w:rPr>
        <w:t> Кодекса).</w:t>
      </w:r>
      <w:proofErr w:type="gramEnd"/>
    </w:p>
    <w:p w:rsidR="00A2331B" w:rsidRDefault="00A2331B" w:rsidP="00A2331B">
      <w:pPr>
        <w:pStyle w:val="a6"/>
        <w:shd w:val="clear" w:color="auto" w:fill="FFFFFF"/>
        <w:spacing w:before="210" w:beforeAutospacing="0" w:after="0" w:afterAutospacing="0"/>
        <w:ind w:firstLine="540"/>
        <w:jc w:val="both"/>
        <w:rPr>
          <w:color w:val="000000"/>
          <w:sz w:val="30"/>
          <w:szCs w:val="30"/>
        </w:rPr>
      </w:pPr>
      <w:r>
        <w:rPr>
          <w:color w:val="000000"/>
          <w:sz w:val="30"/>
          <w:szCs w:val="30"/>
        </w:rPr>
        <w:t>Таким образом, для целей применения положения </w:t>
      </w:r>
      <w:hyperlink r:id="rId16" w:history="1">
        <w:r>
          <w:rPr>
            <w:rStyle w:val="a7"/>
            <w:rFonts w:eastAsiaTheme="minorEastAsia"/>
            <w:color w:val="1A0DAB"/>
            <w:sz w:val="30"/>
            <w:szCs w:val="30"/>
          </w:rPr>
          <w:t>подпункта 4 пункта 3 статьи 217.1</w:t>
        </w:r>
      </w:hyperlink>
      <w:r>
        <w:rPr>
          <w:color w:val="000000"/>
          <w:sz w:val="30"/>
          <w:szCs w:val="30"/>
        </w:rPr>
        <w:t> Кодекса имеет значение наличие (отсутствие) иного жилого помещения именно на календарную дату государственной регистрации перехода права собственности от налогоплательщика к покупателю на проданное жилое помещение.</w:t>
      </w:r>
    </w:p>
    <w:p w:rsidR="00A2331B" w:rsidRDefault="00A2331B" w:rsidP="00A2331B">
      <w:pPr>
        <w:pStyle w:val="a6"/>
        <w:shd w:val="clear" w:color="auto" w:fill="FFFFFF"/>
        <w:spacing w:before="210" w:beforeAutospacing="0" w:after="0" w:afterAutospacing="0"/>
        <w:ind w:firstLine="540"/>
        <w:jc w:val="both"/>
        <w:rPr>
          <w:color w:val="000000"/>
          <w:sz w:val="30"/>
          <w:szCs w:val="30"/>
        </w:rPr>
      </w:pPr>
      <w:r>
        <w:rPr>
          <w:color w:val="000000"/>
          <w:sz w:val="30"/>
          <w:szCs w:val="30"/>
        </w:rPr>
        <w:t xml:space="preserve">Учитывая изложенное, при налогообложении доходов физического лица, полученных от продажи нескольких жилых помещений, находившихся в собственности налогоплательщика более трех лет и государственная регистрация перехода права </w:t>
      </w:r>
      <w:proofErr w:type="gramStart"/>
      <w:r>
        <w:rPr>
          <w:color w:val="000000"/>
          <w:sz w:val="30"/>
          <w:szCs w:val="30"/>
        </w:rPr>
        <w:t>собственности</w:t>
      </w:r>
      <w:proofErr w:type="gramEnd"/>
      <w:r>
        <w:rPr>
          <w:color w:val="000000"/>
          <w:sz w:val="30"/>
          <w:szCs w:val="30"/>
        </w:rPr>
        <w:t xml:space="preserve"> на которые от налогоплательщика к покупателю осуществлена в один день, </w:t>
      </w:r>
      <w:r w:rsidRPr="00A2331B">
        <w:rPr>
          <w:b/>
          <w:color w:val="000000"/>
          <w:sz w:val="30"/>
          <w:szCs w:val="30"/>
        </w:rPr>
        <w:t>основания для применения положений, предусмотренных </w:t>
      </w:r>
      <w:hyperlink r:id="rId17" w:history="1">
        <w:r w:rsidRPr="00A2331B">
          <w:rPr>
            <w:rStyle w:val="a7"/>
            <w:rFonts w:eastAsiaTheme="minorEastAsia"/>
            <w:b/>
            <w:color w:val="1A0DAB"/>
            <w:sz w:val="30"/>
            <w:szCs w:val="30"/>
          </w:rPr>
          <w:t>подпунктом 4 пункта 3 статьи 217.1</w:t>
        </w:r>
      </w:hyperlink>
      <w:r w:rsidRPr="00A2331B">
        <w:rPr>
          <w:b/>
          <w:color w:val="000000"/>
          <w:sz w:val="30"/>
          <w:szCs w:val="30"/>
        </w:rPr>
        <w:t> Кодекса, отсутствуют.</w:t>
      </w:r>
    </w:p>
    <w:p w:rsidR="00A2331B" w:rsidRDefault="00A2331B" w:rsidP="00A2331B">
      <w:pPr>
        <w:pStyle w:val="alignright"/>
        <w:shd w:val="clear" w:color="auto" w:fill="FFFFFF"/>
        <w:spacing w:before="0" w:beforeAutospacing="0" w:after="0" w:afterAutospacing="0"/>
        <w:jc w:val="right"/>
        <w:rPr>
          <w:color w:val="000000"/>
          <w:sz w:val="30"/>
          <w:szCs w:val="30"/>
        </w:rPr>
      </w:pPr>
      <w:r>
        <w:rPr>
          <w:color w:val="000000"/>
          <w:sz w:val="30"/>
          <w:szCs w:val="30"/>
        </w:rPr>
        <w:t>Директор Департамента</w:t>
      </w:r>
    </w:p>
    <w:p w:rsidR="00A2331B" w:rsidRDefault="00A2331B" w:rsidP="00A2331B">
      <w:pPr>
        <w:pStyle w:val="alignright"/>
        <w:shd w:val="clear" w:color="auto" w:fill="FFFFFF"/>
        <w:spacing w:before="0" w:beforeAutospacing="0" w:after="0" w:afterAutospacing="0"/>
        <w:jc w:val="right"/>
        <w:rPr>
          <w:color w:val="000000"/>
          <w:sz w:val="30"/>
          <w:szCs w:val="30"/>
        </w:rPr>
      </w:pPr>
      <w:r>
        <w:rPr>
          <w:color w:val="000000"/>
          <w:sz w:val="30"/>
          <w:szCs w:val="30"/>
        </w:rPr>
        <w:t>Д.В.ВОЛКОВ</w:t>
      </w:r>
    </w:p>
    <w:p w:rsidR="00A06FAB" w:rsidRDefault="00153E31"/>
    <w:sectPr w:rsidR="00A06FAB" w:rsidSect="006A08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2331B"/>
    <w:rsid w:val="00153E31"/>
    <w:rsid w:val="00241B5F"/>
    <w:rsid w:val="00267955"/>
    <w:rsid w:val="003E0027"/>
    <w:rsid w:val="004E18CF"/>
    <w:rsid w:val="006A08C7"/>
    <w:rsid w:val="007C3ED7"/>
    <w:rsid w:val="008E04A0"/>
    <w:rsid w:val="0094644D"/>
    <w:rsid w:val="009675C3"/>
    <w:rsid w:val="009D3B2F"/>
    <w:rsid w:val="00A2331B"/>
    <w:rsid w:val="00A43240"/>
    <w:rsid w:val="00C000FC"/>
    <w:rsid w:val="00DA291A"/>
    <w:rsid w:val="00DE6969"/>
    <w:rsid w:val="00E56B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7955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94644D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4644D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4644D"/>
    <w:pPr>
      <w:keepNext/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94644D"/>
    <w:p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94644D"/>
    <w:p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4644D"/>
    <w:rPr>
      <w:rFonts w:asciiTheme="majorHAnsi" w:eastAsiaTheme="majorEastAsia" w:hAnsiTheme="majorHAnsi" w:cstheme="majorBidi"/>
      <w:b/>
      <w:bCs/>
      <w:kern w:val="32"/>
      <w:sz w:val="32"/>
      <w:szCs w:val="32"/>
      <w:lang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94644D"/>
    <w:rPr>
      <w:rFonts w:asciiTheme="majorHAnsi" w:eastAsiaTheme="majorEastAsia" w:hAnsiTheme="majorHAnsi" w:cstheme="majorBidi"/>
      <w:b/>
      <w:bCs/>
      <w:i/>
      <w:iCs/>
      <w:sz w:val="28"/>
      <w:szCs w:val="28"/>
      <w:lang w:eastAsia="en-US"/>
    </w:rPr>
  </w:style>
  <w:style w:type="character" w:customStyle="1" w:styleId="40">
    <w:name w:val="Заголовок 4 Знак"/>
    <w:basedOn w:val="a0"/>
    <w:link w:val="4"/>
    <w:uiPriority w:val="9"/>
    <w:semiHidden/>
    <w:rsid w:val="0094644D"/>
    <w:rPr>
      <w:rFonts w:asciiTheme="minorHAnsi" w:eastAsiaTheme="minorEastAsia" w:hAnsiTheme="minorHAnsi" w:cstheme="minorBidi"/>
      <w:b/>
      <w:bCs/>
      <w:sz w:val="28"/>
      <w:szCs w:val="28"/>
      <w:lang w:eastAsia="en-US"/>
    </w:rPr>
  </w:style>
  <w:style w:type="character" w:customStyle="1" w:styleId="50">
    <w:name w:val="Заголовок 5 Знак"/>
    <w:basedOn w:val="a0"/>
    <w:link w:val="5"/>
    <w:uiPriority w:val="9"/>
    <w:semiHidden/>
    <w:rsid w:val="0094644D"/>
    <w:rPr>
      <w:rFonts w:asciiTheme="minorHAnsi" w:eastAsiaTheme="minorEastAsia" w:hAnsiTheme="minorHAnsi" w:cstheme="minorBidi"/>
      <w:b/>
      <w:bCs/>
      <w:i/>
      <w:iCs/>
      <w:sz w:val="26"/>
      <w:szCs w:val="26"/>
      <w:lang w:eastAsia="en-US"/>
    </w:rPr>
  </w:style>
  <w:style w:type="character" w:customStyle="1" w:styleId="70">
    <w:name w:val="Заголовок 7 Знак"/>
    <w:basedOn w:val="a0"/>
    <w:link w:val="7"/>
    <w:uiPriority w:val="9"/>
    <w:semiHidden/>
    <w:rsid w:val="0094644D"/>
    <w:rPr>
      <w:rFonts w:asciiTheme="minorHAnsi" w:eastAsiaTheme="minorEastAsia" w:hAnsiTheme="minorHAnsi" w:cstheme="minorBidi"/>
      <w:sz w:val="24"/>
      <w:szCs w:val="24"/>
      <w:lang w:eastAsia="en-US"/>
    </w:rPr>
  </w:style>
  <w:style w:type="paragraph" w:styleId="a3">
    <w:name w:val="List Paragraph"/>
    <w:basedOn w:val="a"/>
    <w:uiPriority w:val="34"/>
    <w:qFormat/>
    <w:rsid w:val="0094644D"/>
    <w:pPr>
      <w:ind w:left="708"/>
    </w:pPr>
    <w:rPr>
      <w:rFonts w:cs="Arial Unicode MS"/>
    </w:rPr>
  </w:style>
  <w:style w:type="character" w:styleId="a4">
    <w:name w:val="Strong"/>
    <w:basedOn w:val="a0"/>
    <w:uiPriority w:val="22"/>
    <w:qFormat/>
    <w:rsid w:val="00267955"/>
    <w:rPr>
      <w:b/>
      <w:bCs/>
    </w:rPr>
  </w:style>
  <w:style w:type="paragraph" w:styleId="a5">
    <w:name w:val="No Spacing"/>
    <w:uiPriority w:val="1"/>
    <w:qFormat/>
    <w:rsid w:val="00267955"/>
    <w:rPr>
      <w:sz w:val="22"/>
      <w:szCs w:val="22"/>
      <w:lang w:eastAsia="en-US"/>
    </w:rPr>
  </w:style>
  <w:style w:type="paragraph" w:customStyle="1" w:styleId="aligncenter">
    <w:name w:val="align_center"/>
    <w:basedOn w:val="a"/>
    <w:rsid w:val="00A2331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6">
    <w:name w:val="Normal (Web)"/>
    <w:basedOn w:val="a"/>
    <w:uiPriority w:val="99"/>
    <w:semiHidden/>
    <w:unhideWhenUsed/>
    <w:rsid w:val="00A2331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7">
    <w:name w:val="Hyperlink"/>
    <w:basedOn w:val="a0"/>
    <w:uiPriority w:val="99"/>
    <w:semiHidden/>
    <w:unhideWhenUsed/>
    <w:rsid w:val="00A2331B"/>
    <w:rPr>
      <w:color w:val="0000FF"/>
      <w:u w:val="single"/>
    </w:rPr>
  </w:style>
  <w:style w:type="paragraph" w:customStyle="1" w:styleId="alignright">
    <w:name w:val="align_right"/>
    <w:basedOn w:val="a"/>
    <w:rsid w:val="00A2331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234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onsultant.ru/document/cons_doc_LAW_422747/eded023d22267c340a6216de5b533fc8bfd33307/" TargetMode="External"/><Relationship Id="rId13" Type="http://schemas.openxmlformats.org/officeDocument/2006/relationships/hyperlink" Target="http://www.consultant.ru/document/cons_doc_LAW_410306/1946f279c3925b6402c64903e56362251c469e02/" TargetMode="External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www.consultant.ru/document/cons_doc_LAW_422747/eded023d22267c340a6216de5b533fc8bfd33307/" TargetMode="External"/><Relationship Id="rId12" Type="http://schemas.openxmlformats.org/officeDocument/2006/relationships/hyperlink" Target="http://www.consultant.ru/document/cons_doc_LAW_410306/0357f6ec88e3d6d7616956dbeb6b6a07e2b393dd/" TargetMode="External"/><Relationship Id="rId17" Type="http://schemas.openxmlformats.org/officeDocument/2006/relationships/hyperlink" Target="http://www.consultant.ru/document/cons_doc_LAW_422747/eded023d22267c340a6216de5b533fc8bfd33307/" TargetMode="External"/><Relationship Id="rId2" Type="http://schemas.openxmlformats.org/officeDocument/2006/relationships/settings" Target="settings.xml"/><Relationship Id="rId16" Type="http://schemas.openxmlformats.org/officeDocument/2006/relationships/hyperlink" Target="http://www.consultant.ru/document/cons_doc_LAW_422747/eded023d22267c340a6216de5b533fc8bfd33307/" TargetMode="External"/><Relationship Id="rId1" Type="http://schemas.openxmlformats.org/officeDocument/2006/relationships/styles" Target="styles.xml"/><Relationship Id="rId6" Type="http://schemas.openxmlformats.org/officeDocument/2006/relationships/hyperlink" Target="http://www.consultant.ru/document/cons_doc_LAW_422747/eded023d22267c340a6216de5b533fc8bfd33307/" TargetMode="External"/><Relationship Id="rId11" Type="http://schemas.openxmlformats.org/officeDocument/2006/relationships/hyperlink" Target="http://www.consultant.ru/document/cons_doc_LAW_422747/eded023d22267c340a6216de5b533fc8bfd33307/" TargetMode="External"/><Relationship Id="rId5" Type="http://schemas.openxmlformats.org/officeDocument/2006/relationships/hyperlink" Target="http://www.consultant.ru/document/cons_doc_LAW_422747/eded023d22267c340a6216de5b533fc8bfd33307/" TargetMode="External"/><Relationship Id="rId15" Type="http://schemas.openxmlformats.org/officeDocument/2006/relationships/hyperlink" Target="http://www.consultant.ru/document/cons_doc_LAW_422747/eded023d22267c340a6216de5b533fc8bfd33307/" TargetMode="External"/><Relationship Id="rId10" Type="http://schemas.openxmlformats.org/officeDocument/2006/relationships/hyperlink" Target="http://www.consultant.ru/document/cons_doc_LAW_422747/eded023d22267c340a6216de5b533fc8bfd33307/" TargetMode="External"/><Relationship Id="rId19" Type="http://schemas.openxmlformats.org/officeDocument/2006/relationships/theme" Target="theme/theme1.xml"/><Relationship Id="rId4" Type="http://schemas.openxmlformats.org/officeDocument/2006/relationships/hyperlink" Target="http://www.consultant.ru/document/cons_doc_LAW_422747/eded023d22267c340a6216de5b533fc8bfd33307/" TargetMode="External"/><Relationship Id="rId9" Type="http://schemas.openxmlformats.org/officeDocument/2006/relationships/hyperlink" Target="http://www.consultant.ru/document/cons_doc_LAW_422747/eded023d22267c340a6216de5b533fc8bfd33307/" TargetMode="External"/><Relationship Id="rId14" Type="http://schemas.openxmlformats.org/officeDocument/2006/relationships/hyperlink" Target="http://www.consultant.ru/document/cons_doc_LAW_422747/eded023d22267c340a6216de5b533fc8bfd33307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803</Words>
  <Characters>4579</Characters>
  <Application>Microsoft Office Word</Application>
  <DocSecurity>0</DocSecurity>
  <Lines>38</Lines>
  <Paragraphs>10</Paragraphs>
  <ScaleCrop>false</ScaleCrop>
  <Company/>
  <LinksUpToDate>false</LinksUpToDate>
  <CharactersWithSpaces>5372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3</cp:revision>
  <dcterms:created xsi:type="dcterms:W3CDTF">2022-07-31T09:59:00Z</dcterms:created>
  <dcterms:modified xsi:type="dcterms:W3CDTF">2022-07-31T10:00:00Z</dcterms:modified>
</cp:coreProperties>
</file>