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FAB" w:rsidRDefault="002D79EF" w:rsidP="00A6465C">
      <w:pPr>
        <w:ind w:left="2124" w:firstLine="708"/>
        <w:jc w:val="both"/>
      </w:pPr>
      <w:r>
        <w:t>Федеральный закон 321-ФЗ от 14 июля 2022 г.</w:t>
      </w:r>
    </w:p>
    <w:p w:rsidR="002D79EF" w:rsidRPr="002D79EF" w:rsidRDefault="002D79EF" w:rsidP="002D79EF">
      <w:pPr>
        <w:shd w:val="clear" w:color="auto" w:fill="FFFFFF"/>
        <w:spacing w:after="0" w:line="225" w:lineRule="atLeast"/>
        <w:jc w:val="both"/>
        <w:outlineLvl w:val="1"/>
        <w:rPr>
          <w:rFonts w:ascii="Arial" w:eastAsia="Times New Roman" w:hAnsi="Arial" w:cs="Arial"/>
          <w:b/>
          <w:bCs/>
          <w:color w:val="000000"/>
          <w:kern w:val="36"/>
          <w:sz w:val="15"/>
          <w:szCs w:val="15"/>
          <w:lang w:eastAsia="ru-RU"/>
        </w:rPr>
      </w:pPr>
      <w:r w:rsidRPr="002D79EF">
        <w:rPr>
          <w:rFonts w:ascii="Arial" w:eastAsia="Times New Roman" w:hAnsi="Arial" w:cs="Arial"/>
          <w:b/>
          <w:bCs/>
          <w:color w:val="000000"/>
          <w:kern w:val="36"/>
          <w:sz w:val="15"/>
          <w:szCs w:val="15"/>
          <w:lang w:eastAsia="ru-RU"/>
        </w:rPr>
        <w:t>Статья 1</w:t>
      </w:r>
    </w:p>
    <w:p w:rsidR="002D79EF" w:rsidRPr="002D79EF" w:rsidRDefault="002D79EF" w:rsidP="002D79EF">
      <w:pPr>
        <w:shd w:val="clear" w:color="auto" w:fill="FFFFFF"/>
        <w:spacing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Внести в часть вторую Налогового </w:t>
      </w:r>
      <w:hyperlink r:id="rId6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кодекса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Российской Федерации  следующие изменения: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1) в </w:t>
      </w:r>
      <w:hyperlink r:id="rId7" w:anchor="dst18890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подпункте 26 пункт</w:t>
        </w:r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а</w:t>
        </w:r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 xml:space="preserve"> 2 статьи 149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а) </w:t>
      </w:r>
      <w:hyperlink r:id="rId8" w:anchor="dst18890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абзац первый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после слов "информационно-телекоммуникационную сеть" дополнить словами ", в том числе через информационно-телекоммуникационную сеть";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б) </w:t>
      </w:r>
      <w:hyperlink r:id="rId9" w:anchor="dst18891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абзац второй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изложить в следующей редакции: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"Положения настоящего подпункта не применяются, если передаваемые права состоят в получении возможности распространять рекламную информацию в информационно-телекоммуникационной сети, в том числе в информационно-телекоммуникационной сети "Интернет", и (или) получать доступ к такой информации, размещать предложения (объявления) о приобретении (реализации) товаров (работ, услуг), имущественных прав в информационно-телекоммуникационной сети, в том числе в информационно-телекоммуникационной сети "Интернет", осуществлять поиск информации о потенциальных покупателях (продавцах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) и (или) заключать сделки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;"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2) </w:t>
      </w:r>
      <w:hyperlink r:id="rId10" w:anchor="dst3991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пункт 2 статьи 259.3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дополнить подпунктами 5 и 6 следующего содержания: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"5) в отношении амортизируемых основных средств, включенных на дату их ввода в эксплуатацию в единый реестр российской радиоэлектронной продукции.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Переходные ключи между кодами Общероссийского </w:t>
      </w:r>
      <w:hyperlink r:id="rId11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классификатора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продукции по видам экономической деятельности, содержащимися в едином реестре российской радиоэлектронной продукции, и кодами Общероссийского </w:t>
      </w:r>
      <w:hyperlink r:id="rId12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классификатора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основных фондов утверждаются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инвестиционной деятельности;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6) в отношении нематериальных активов в виде исключительных прав на программы для электронных вычислительных машин и базы данных, включенные в единый реестр российских программ для электронных вычислительных машин и баз данных. Положение настоящего подпункта не распространяется на нематериальные активы, срок полезного использования которых определен налогоплательщиком в порядке, установленном абзацем вторым пункта 2 статьи 258 настоящего Кодекса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.";</w:t>
      </w:r>
      <w:proofErr w:type="gramEnd"/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3) </w:t>
      </w:r>
      <w:hyperlink r:id="rId13" w:anchor="dst21564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пункт 1.15 статьи 284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изложить в следующей редакции: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"1.15.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Для российских организаций, осуществляющих деятельность в области информационных технологий, начиная с налогового периода получения документа о государственной аккредитации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организации, осуществляющей деятельность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в области информационных технологий, устанавливается налоговая ставка по налогу в размере 0 процентов в 2022 - 2024 годах.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Порядок государственной аккредитации российских организаций, осуществляющих деятельность в области информационных технологий, устанавливается Правительством Российской Федерации по согласованию с высшим исполнительным органом власти субъекта Российской Федерации, осуществляющего функции столицы Российской Федерации.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Указанная в настоящем пункте налоговая ставка применяется при условии, что по итогам отчетного (налогового) периода в сумме всех доходов организации, осуществляющей деятельность в области информационных технологий, учитываемых при определении налоговой базы по налогу в соответствии с настоящей главой,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не менее 70 процентов составляют доходы: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реализации экземпляров разработанных, адаптированных и (или) модифицированных данной организацией либо лицом, входящим в одну группу лиц с данной организацией, программ для электронных вычислительных машин, баз данных (далее в настоящей статье - собственные программы для ЭВМ, базы данных);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передачи исключительных прав на собственные программы для ЭВМ, базы данных;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предоставления данной организацией прав использования собственных программ для ЭВМ, баз данных, в том числе путем предоставления удаленного доступа к собственным программам для ЭВМ, базам данных, включая обновления к ним и дополнительные функциональные возможности, через информационно-телекоммуникационную сеть, в том числе через информационно-телекоммуникационную сеть "Интернет" (далее в настоящей статье - сеть "Интернет") (за исключением доходов от предоставления прав использования программ для ЭВМ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баз данных (в том числе путем предоставления удаленного доступа к ним через сеть "Интернет"), если такие права состоят в получении возможности размещать предложения о приобретении (реализации) товаров (работ, услуг), имущественных прав в сети "Интернет", осуществлять поиск информации о потенциальных покупателях (продавцах) и (или) заключать сделки);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предоставления данной организацией прав использования собственных программ для ЭВМ, баз данных, в том числе путем предоставления удаленного доступа к собственным программам для ЭВМ, базам данных, включая обновления к ним и дополнительные функциональные возможности, через информационно-телекоммуникационную сеть, в том числе через информационно-телекоммуникационную сеть "Интернет" (далее в настоящей статье - сеть "Интернет") (за исключением доходов от предоставления указанных прав, если указанные права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состоят в получении возможности в отношении определенного товара разместить в сети "Интернет" предложение, объявление о заключении договора купли-продажи товара и заключить договор купли-продажи, произвести предварительную оплату такого товара, при этом данная организация также обеспечивает возможность хранения, упаковки, доставки, выдачи такого товара покупателю с использованием недвижимого имущества и (или) транспортных средств, находящихся у нее на праве собственности, аренды или на ином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праве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либо с привлечением данной организацией по гражданско-правовому договору взаимозависимого лица, которое признается таковым в соответствии с </w:t>
      </w:r>
      <w:hyperlink r:id="rId14" w:anchor="dst1512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пунктом 2 статьи 105.1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 настоящего Кодекса и у которого эти объекты находятся на праве собственности, аренды или на ином праве;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 получении возможности участвовать в процедуре закупок, предусмотренных Федеральным </w:t>
      </w:r>
      <w:hyperlink r:id="rId15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законом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от 5 апреля 2013 года N 44-ФЗ "О контрактной системе в сфере закупок товаров, работ, услуг для обеспечения государственных и муниципальных нужд" и Федеральным </w:t>
      </w:r>
      <w:hyperlink r:id="rId16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законом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от 18 июля 2011 года N 223-ФЗ "О закупках товаров, работ, услуг отдельными видами юридических лиц";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в получении возможности участвовать в организованных торгах на товарном рынке; в получении возможности инициировать и осуществлять операции по безналичному переводу денежных средств; в получении банковских, финансовых услуг, в том числе услуг финансирования под уступку денежного требования, услуг на рынке ценных бумаг (дилерская деятельность, брокерская деятельность, деятельность </w:t>
      </w:r>
      <w:proofErr w:type="spell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форекс-дилеров</w:t>
      </w:r>
      <w:proofErr w:type="spell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), предоставляемых (оказываемых) банками, кредитными организациями, небанковскими кредитными организациями и иными организациями;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в получении услуг, связанных с совершением сделок с недвижимым имуществом, в отношении объектов недвижимости продавцов и (или) застройщиков и (или) объектов долевого строительства; в получении возможности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разместить информацию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о потенциальном спросе на услуги по перевозке пассажиров и багажа легковым такси, а также в получении возможности ознакомиться с информацией о предложениях организаций, оказывающих услуги в указанной сфере, и осуществить поиск этих предложений по заданным пользователем параметрам; в получении возможности размещать информацию об услугах общественного питания, предложение заключить договор о реализации определенного товара (блюда), изготовленного организацией, оказывающей услуги общественного питания, заключить договор купли-продажи, произвести предварительную оплату такого товара (блюда), при этом организация-налогоплательщик также обеспечивает возможность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lastRenderedPageBreak/>
        <w:t>доставки, выдачи такого товара (блюда) покупателю; в получении возможности формировать средства идентификации (коды маркировки), предоставляемой оператором государственной информационной системы мониторинга за оборотом товаров, подлежащих обязательной маркировке средствами идентификации; в получении возможности осуществлять хранение данных в центрах обработки данных; в получении возможности получать услуги связи по передаче данных в целях передачи голосовой информации, предоставляемой оператором связи);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услуг (выполнения работ) по разработке, адаптации и модификации программ для ЭВМ, баз данных (программных средств и информационных продуктов вычислительной техники) (далее в настоящей статье - заказные программы для ЭВМ, базы данных);</w:t>
      </w:r>
      <w:proofErr w:type="gramEnd"/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услуг (выполнения работ) по установке, тестированию и сопровождению собственных программ для ЭВМ, баз данных и заказных программ для ЭВМ, баз данных;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услуг (выполнения работ) по разработке (включая тестирование и сопровождение) программно-аппаратных комплексов при наличии документа, подтверждающего отнесение предусмотренных договором услуг (работ) к разработке программно-аппаратных комплексов и выданного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информационных технологий, а также по адаптации, модификации, тестированию и сопровождению программно-аппаратных комплексов, включенных в единый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реестр российских программ для электронных вычислительных машин и баз данных;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реализации разработанных данной организацией программно-аппаратных комплексов, включенных в единый реестр российских программ для электронных вычислительных машин и баз данных;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данной организацией услуг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данных), по распространению рекламной информации в сети "Интернет" и (или) получению доступа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к такой информации;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услуг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данных), по предоставлению доступа к аудиовизуальным произведениям и (или) сообщениям телепередач на аудиовизуальном сервисе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,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включенном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в реестр аудиовизуальных сервисов;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услуг и (или) предоставления прав использования, заключающихся в предоставлении доступа к отдельным фонограммам, совокупности фонограмм, объектам авторского и смежных прав, связанных с фонограммами,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российских программ для электронных вычислительных машин и баз данных);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услуг в сети "Интернет"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данных), по размещению и (или) продвижению предложений, объявлений о приобретении (реализации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)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товаров (работ, услуг), имущественных прав, предложений о трудоустройстве, услуг по осуществлению поиска таких предложений, объявлений (доступа к таким предложениям, объявлениям) и (или) по заключению договоров (за исключением доходов от оказания услуг, указанных в настоящем абзаце, если эти услуги состоят в предоставлении возможности в отношении определенного товара разместить в сети "Интернет" предложение, объявление о заключении договора купли-продажи товара и заключить договор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купли-продажи, произвести предварительную оплату такого товара, при этом данная организация также обеспечивает возможность хранения, упаковки, доставки, выдачи такого товара покупателю с использованием недвижимого имущества и (или) транспортных средств, находящихся у нее на праве собственности, аренды или на ином праве, либо с привлечением данной организацией по гражданско-правовому договору взаимозависимого лица, которое признается таковым в соответствии с </w:t>
      </w:r>
      <w:hyperlink r:id="rId17" w:anchor="dst1512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пунктом 2 статьи 105.1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настоящего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Кодекса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и у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которого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эти объекты находятся на праве собственности, аренды или на ином праве;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данной организацией услуг, указанных в настоящем абзаце, если такие услуги состоят в получении возможности разместить информацию о потенциальном спросе на услуги по перевозке пассажиров и багажа легковым такси, а также в получении возможности ознакомиться с информацией о предложениях организаций, оказывающих услуги в указанной сфере, и осуществить поиск этих предложений по заданным параметрам;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в получении возможности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разместить информацию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об услугах общественного питания, предложение заключить договор о реализации определенного товара (блюда), изготовленного организацией, оказывающей услуги общественного питания, заключить договор купли-продажи, произвести предварительную оплату такого товара (блюда), при этом организация-налогоплательщик также обеспечивает возможность доставки, выдачи такого товара (блюда) покупателю;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 получении возможности участвовать в процедуре закупок, предусмотренных Федеральным </w:t>
      </w:r>
      <w:hyperlink r:id="rId18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законом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от 5 апреля 2013 года N 44-ФЗ "О контрактной системе в сфере закупок товаров, работ, услуг для обеспечения государственных и муниципальных нужд" и Федеральным </w:t>
      </w:r>
      <w:hyperlink r:id="rId19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законом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от 18 июля 2011 года N 223-ФЗ "О закупках товаров, работ, услуг отдельными видами юридических лиц";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в получении возможности участвовать в организованных торгах на товарном рынке; в получении возможности инициировать и осуществлять операции по безналичному переводу денежных средств; в получении банковских, финансовых услуг, в том числе услуг финансирования под уступку денежного требования, услуг на рынке ценных бумаг (дилерская деятельность, брокерская деятельность, деятельность </w:t>
      </w:r>
      <w:proofErr w:type="spell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форекс-дилеров</w:t>
      </w:r>
      <w:proofErr w:type="spell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), предоставляемых (оказываемых) банками, кредитными организациями, небанковскими кредитными организациями и иными организациями;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 получении услуг, связанных с совершением сделок с недвижимым имуществом, в отношении объектов недвижимости продавцов и (или) застройщиков и (или) объектов долевого строительства; в получении возможности формировать средства идентификации (коды маркировки), предоставляемой оператором государственной информационной системы мониторинга за оборотом товаров, подлежащих обязательной маркировке средствами идентификации; в получении возможности осуществлять хранение данных в центрах обработки данных;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в получении возможности получать услуги связи по передаче данных для целей передачи голосовой информации, предоставляемой оператором связи);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данной организацией, имеющей лицензию на осуществление образовательной деятельности,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данных), в том числе путем предоставления удаленного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доступа к собственным программам для ЭВМ, базам данных, услуг по предоставлению доступа к электронной образовательной и (или) просветительской информации (сервисам).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 целях настоящего пункта сумма доходов определяется по данным налогового учета организации в соответствии со статьей 248 настоящего Кодекса, при этом в нее не включаются доходы, указанные в пунктах 2 и 11 части второй статьи 250 и пункте 4.1 статьи 271 настоящего Кодекса, а также доходы от уступки прав требования долга, возникшего при признании доходов, указанных в настоящем пункте.</w:t>
      </w:r>
      <w:proofErr w:type="gramEnd"/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 случае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если по итогам налогового периода налогоплательщик не выполняет условие настоящего пункта, а также в случае лишения его государственной аккредитации такой налогоплательщик лишается права применять налоговую ставку, предусмотренную настоящим пунктом, с начала налогового периода, в котором допущено несоответствие указанному условию либо он лишен государственной аккредитации.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Вне зависимости от выполнения иных условий, установленных настоящим пунктом, налоговая ставка, установленная настоящим пунктом, не подлежит применению: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lastRenderedPageBreak/>
        <w:t>организациями, созданными в результате реорганизации (кроме преобразования) или реорганизованными в форме присоединения к ним другого юридического лица либо выделения из его состава одного или нескольких юридических лиц после 1 июля 2022 года;</w:t>
      </w:r>
      <w:proofErr w:type="gramEnd"/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организациями (в том числе кредитными организациями), в которых прямо и (или) косвенно участвует Российская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Федерация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и доля такого участия составляет не менее 50 процентов.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В целях настоящего пункта лицом, входящим в одну группу лиц с данной организацией, признается лицо, которое прямо участвует в данной организации, либо в котором прямо участвует данная организация, либо в котором и в данной организации прямо участвует третье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лицо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и доля участия во всех случаях составляет более 50 процентов.";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4) в </w:t>
      </w:r>
      <w:hyperlink r:id="rId20" w:anchor="dst13485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статье 427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а) </w:t>
      </w:r>
      <w:hyperlink r:id="rId21" w:anchor="dst18937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подпункт 3 пункта 1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изложить в следующей редакции:</w:t>
      </w:r>
    </w:p>
    <w:p w:rsid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"3) для российских организаций, осуществляющих деятельность в области информационных технологий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;"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;</w:t>
      </w:r>
    </w:p>
    <w:p w:rsidR="00232BAE" w:rsidRPr="00232BAE" w:rsidRDefault="00232BAE" w:rsidP="00232BAE">
      <w:pPr>
        <w:spacing w:after="0" w:line="240" w:lineRule="auto"/>
        <w:rPr>
          <w:i/>
          <w:sz w:val="14"/>
          <w:szCs w:val="14"/>
        </w:rPr>
      </w:pPr>
      <w:r w:rsidRPr="00232BAE">
        <w:rPr>
          <w:i/>
          <w:sz w:val="14"/>
          <w:szCs w:val="14"/>
        </w:rPr>
        <w:t xml:space="preserve">1.1) для плательщиков, указанных в </w:t>
      </w:r>
      <w:hyperlink r:id="rId22" w:history="1">
        <w:r w:rsidRPr="00232BAE">
          <w:rPr>
            <w:i/>
            <w:color w:val="0000FF"/>
            <w:sz w:val="14"/>
            <w:szCs w:val="14"/>
          </w:rPr>
          <w:t>подпункте 3 пункта 1</w:t>
        </w:r>
      </w:hyperlink>
      <w:r w:rsidRPr="00232BAE">
        <w:rPr>
          <w:i/>
          <w:sz w:val="14"/>
          <w:szCs w:val="14"/>
        </w:rPr>
        <w:t xml:space="preserve"> настоящей статьи:</w:t>
      </w:r>
    </w:p>
    <w:p w:rsidR="00232BAE" w:rsidRPr="00232BAE" w:rsidRDefault="00232BAE" w:rsidP="00232BAE">
      <w:pPr>
        <w:spacing w:after="0" w:line="240" w:lineRule="auto"/>
        <w:rPr>
          <w:i/>
          <w:sz w:val="14"/>
          <w:szCs w:val="14"/>
        </w:rPr>
      </w:pPr>
      <w:r w:rsidRPr="00232BAE">
        <w:rPr>
          <w:i/>
          <w:sz w:val="14"/>
          <w:szCs w:val="14"/>
        </w:rPr>
        <w:t>на ОПС с 2021 года - 6,0%;</w:t>
      </w:r>
    </w:p>
    <w:p w:rsidR="00232BAE" w:rsidRPr="00232BAE" w:rsidRDefault="00232BAE" w:rsidP="00232BAE">
      <w:pPr>
        <w:spacing w:after="0" w:line="240" w:lineRule="auto"/>
        <w:rPr>
          <w:i/>
          <w:sz w:val="14"/>
          <w:szCs w:val="14"/>
        </w:rPr>
      </w:pPr>
      <w:r w:rsidRPr="00232BAE">
        <w:rPr>
          <w:i/>
          <w:sz w:val="14"/>
          <w:szCs w:val="14"/>
        </w:rPr>
        <w:t>на ОСС с 2021 года - 1,5%;</w:t>
      </w:r>
    </w:p>
    <w:p w:rsidR="00232BAE" w:rsidRPr="00232BAE" w:rsidRDefault="00232BAE" w:rsidP="00232BAE">
      <w:pPr>
        <w:spacing w:after="0" w:line="240" w:lineRule="auto"/>
        <w:rPr>
          <w:i/>
          <w:sz w:val="14"/>
          <w:szCs w:val="14"/>
        </w:rPr>
      </w:pPr>
      <w:r w:rsidRPr="00232BAE">
        <w:rPr>
          <w:i/>
          <w:sz w:val="14"/>
          <w:szCs w:val="14"/>
        </w:rPr>
        <w:t xml:space="preserve">на ОМС с 2021 года - 0,1%. 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б) </w:t>
      </w:r>
      <w:hyperlink r:id="rId23" w:anchor="dst14503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пункт 5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изложить в следующей редакции: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"5. Для плательщиков, указанных в подпункте 3 пункта 1 настоящей статьи,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условиями применения пониженных тарифов страховых взносов, предусмотренных подпунктом 1.1 пункта 2 настоящей статьи</w:t>
      </w:r>
      <w:r w:rsidR="002814A8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 xml:space="preserve"> (7,6%)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, являются: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получение в установленном порядке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документа о государственной аккредитации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организации, осуществляющей деятельность в области информационных технологий, или свидетельства, удостоверяющего регистрацию организации в качестве резидента технико-внедренческой особой экономической зоны или промышленно-производственной особой экономической зоны;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по итогам отчетного (расчетного) периода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в сумме всех доходов организации,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осуществляющей деятельность в области информационных технологий, учитываемых при определении налоговой базы по налогу на прибыль организаций в соответствии с главой 25 настоящего Кодекса,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не менее 70 процентов составляют доходы: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highlight w:val="yellow"/>
          <w:lang w:eastAsia="ru-RU"/>
        </w:rPr>
        <w:t>от реализации экземпляров разработанных,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 адаптированных и (или) модифицированных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highlight w:val="yellow"/>
          <w:lang w:eastAsia="ru-RU"/>
        </w:rPr>
        <w:t>данной организацией либо лицом, входящим в одну группу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 лиц с данной организацией, программ для ЭВМ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баз данных (далее в настоящей статье - собственные программы для ЭВМ, базы данных);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>от передачи исключительных прав на собственные программы для ЭВМ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базы данных;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от предоставления данной организацией прав использования собственных программ для ЭВМ, баз данных, в том числе путем предоставления удаленного доступа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к собственным программам для ЭВМ, базам данных, включая обновления к ним и дополнительные функциональные возможности, через информационно-телекоммуникационную сеть, в том числе через информационно-телекоммуникационную сеть "Интернет" (далее в настоящей статье - сеть "Интернет") (за исключением доходов от предоставления прав использования программ для ЭВМ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баз данных (в том числе путем предоставления удаленного доступа к ним через сеть "Интернет"), если такие права состоят в получении возможности размещать предложения о приобретении (реализации) товаров (работ, услуг), имущественных прав в сети "Интернет", осуществлять поиск информации о потенциальных покупателях (продавцах) и (или) заключать сделки);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>от предоставления данной организацией прав использования собственных программ для ЭВМ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баз данных, в том числе путем предоставления удаленного доступа к собственным программам для ЭВМ, базам данных, включая обновления к ним и дополнительные функциональные возможности, через информационно-телекоммуникационную сеть, в том числе через информационно-телекоммуникационную сеть "Интернет" (далее в настоящей статье - сеть "Интернет") (за исключением доходов от предоставления указанных прав, если указанные права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состоят в получении возможности в отношении определенного товара разместить в сети "Интернет" предложение, объявление о заключении договора купли-продажи товара и заключить договор купли-продажи, произвести предварительную оплату такого товара, при этом данная организация также обеспечивает возможность хранения, упаковки, доставки, выдачи такого товара покупателю с использованием недвижимого имущества и (или) транспортных средств, находящихся у нее на праве собственности, аренды или на ином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праве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либо с привлечением данной организацией по гражданско-правовому договору взаимозависимого лица, которое признается таковым в соответствии с </w:t>
      </w:r>
      <w:hyperlink r:id="rId24" w:anchor="dst1512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пунктом 2 статьи 105.1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 настоящего Кодекса и у которого эти объекты находятся на праве собственности, аренды или на ином праве;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 получении возможности участвовать в процедуре закупок, предусмотренных Федеральным </w:t>
      </w:r>
      <w:hyperlink r:id="rId25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законом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от 5 апреля 2013 года N 44-ФЗ "О контрактной системе в сфере закупок товаров, работ, услуг для обеспечения государственных и муниципальных нужд" и Федеральным </w:t>
      </w:r>
      <w:hyperlink r:id="rId26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законом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от 18 июля 2011 года N 223-ФЗ "О закупках товаров, работ, услуг отдельными видами юридических лиц";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в получении возможности участвовать в организованных торгах на товарном рынке; в получении возможности инициировать и осуществлять операции по безналичному переводу денежных средств; в получении банковских, финансовых услуг, в том числе услуг финансирования под уступку денежного требования, услуг на рынке ценных бумаг (дилерская деятельность, брокерская деятельность, деятельность </w:t>
      </w:r>
      <w:proofErr w:type="spell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форекс-дилеров</w:t>
      </w:r>
      <w:proofErr w:type="spell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), предоставляемых (оказываемых) банками, кредитными организациями, небанковскими кредитными организациями и иными организациями;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в получении услуг, связанных с совершением сделок с недвижимым имуществом, в отношении объектов недвижимости продавцов и (или) застройщиков и (или) объектов долевого строительства; в получении возможности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разместить информацию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о потенциальном спросе на услуги по перевозке пассажиров и багажа легковым такси, а также в получении возможности ознакомиться с информацией о предложениях организаций, оказывающих услуги в указанной сфере, и осуществить поиск таких предложений по заданным пользователем параметрам; в получении возможности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разместить информацию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об услугах общественного питания, предложение заключить договор о реализации определенного товара (блюда), изготовленного организацией, оказывающей услуги общественного питания, заключить договор купли-продажи, произвести предварительную оплату такого товара (блюда), при этом организация-плательщик также обеспечивает возможность доставки, выдачи такого товара (блюда) покупателю; в получении возможности формировать средства идентификации (коды маркировки), предоставляемой оператором государственной информационной системы мониторинга за оборотом товаров, подлежащих обязательной маркировке средствами идентификации; в получении возможности осуществлять хранение данных в центрах обработки данных; в получении возможности получать услуги связи по передаче данных в целях передачи голосовой информации, предоставляемой оператором связи);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от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оказания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highlight w:val="yellow"/>
          <w:lang w:eastAsia="ru-RU"/>
        </w:rPr>
        <w:t>услуг (выполнения работ) по разработке, адаптации и модификации программ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 для ЭВМ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баз данных (программных средств и информационных продуктов вычислительной техники) (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>далее в настоящей статье - заказные программы для ЭВМ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 базы данных);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от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оказания услуг (выполнения работ)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highlight w:val="yellow"/>
          <w:lang w:eastAsia="ru-RU"/>
        </w:rPr>
        <w:t>по установке, тестированию и сопровождению собственных программ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для ЭВМ, баз данных и заказных программ для ЭВМ, баз данных;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от оказания услуг (выполнения работ) по разработке (включая тестирование и сопровождение) программно-аппаратных комплексов при наличии документа, подтверждающего отнесение предусмотренных договором услуг (работ) к разработке программно-аппаратных комплексов и выданного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информационных технологий, а также по адаптации, модификации, тестированию и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lastRenderedPageBreak/>
        <w:t>сопровождению программно-аппаратных комплексов, включенных в единый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реестр российских программ для электронных вычислительных машин и баз данных;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реализации разработанных данной организацией программно-аппаратных комплексов, включенных в единый реестр российских программ для электронных вычислительных машин и баз данных;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от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оказания данной организацией </w:t>
      </w:r>
      <w:r w:rsidRPr="002D79EF">
        <w:rPr>
          <w:rFonts w:ascii="Times New Roman" w:eastAsia="Times New Roman" w:hAnsi="Times New Roman"/>
          <w:b/>
          <w:color w:val="FF0000"/>
          <w:sz w:val="15"/>
          <w:szCs w:val="15"/>
          <w:highlight w:val="yellow"/>
          <w:lang w:eastAsia="ru-RU"/>
        </w:rPr>
        <w:t>услуг с использованием собственных программ для ЭВМ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, баз данных, </w:t>
      </w:r>
      <w:r w:rsidRPr="002D79EF">
        <w:rPr>
          <w:rFonts w:ascii="Times New Roman" w:eastAsia="Times New Roman" w:hAnsi="Times New Roman"/>
          <w:b/>
          <w:color w:val="FF0000"/>
          <w:sz w:val="15"/>
          <w:szCs w:val="15"/>
          <w:highlight w:val="yellow"/>
          <w:lang w:eastAsia="ru-RU"/>
        </w:rPr>
        <w:t>включенных в единый реестр российских программ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для электронных вычислительных машин и баз данных (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),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>по распространению рекламной информации в сети "Интернет" и (или) получению доступа</w:t>
      </w:r>
      <w:proofErr w:type="gramEnd"/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 к такой информации;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услуг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данных), по предоставлению доступа к аудиовизуальным произведениям и (или) сообщениям телепередач на аудиовизуальном сервисе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,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включенном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в реестр аудиовизуальных сервисов;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услуг и (или) предоставления прав использования, заключающихся в предоставлении доступа к отдельным фонограммам, совокупности фонограмм, объектам авторского и смежных прав, связанных с фонограммами,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российских программ для электронных вычислительных машин и баз данных);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от оказания </w:t>
      </w:r>
      <w:r w:rsidRPr="002D79EF">
        <w:rPr>
          <w:rFonts w:ascii="Times New Roman" w:eastAsia="Times New Roman" w:hAnsi="Times New Roman"/>
          <w:b/>
          <w:color w:val="FF0000"/>
          <w:sz w:val="15"/>
          <w:szCs w:val="15"/>
          <w:lang w:eastAsia="ru-RU"/>
        </w:rPr>
        <w:t>услуг в сети "Интернет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>"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 xml:space="preserve">с использованием собственных программ для ЭВМ, баз данных,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highlight w:val="yellow"/>
          <w:lang w:eastAsia="ru-RU"/>
        </w:rPr>
        <w:t>включенных в единый реестр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 xml:space="preserve"> российских программ для электронных вычислительных машин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и баз данных (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>либо в случае, если составная часть собственной программы для ЭВМ включена в единый реестр российских программ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для электронных вычислительных машин и баз данных), по размещению и (или) продвижению предложений, объявлений о приобретении (реализации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)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товаров (работ, услуг), имущественных прав, предложений о трудоустройстве, услуг по осуществлению поиска таких предложений, объявлений (доступа к таким предложениям, объявлениям) и (или) по заключению договоров (за исключением доходов от оказания услуг, указанных в настоящем абзаце, если эти услуги состоят в предоставлении возможности в отношении определенного товара разместить в сети "Интернет" предложение, объявление о заключении договора купли-продажи товара и заключить договор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купли-продажи, произвести предварительную оплату такого товара, при этом данная организация также обеспечивает возможность хранения, упаковки, доставки, выдачи такого товара покупателю с использованием недвижимого имущества и (или) транспортных средств, находящихся у нее на праве собственности, аренды или на ином праве, либо с привлечением данной организацией по гражданско-правовому договору взаимозависимого лица, которое признается таковым в соответствии с </w:t>
      </w:r>
      <w:hyperlink r:id="rId27" w:anchor="dst1512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пунктом 2 статьи 105.1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настоящего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Кодекса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и у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которого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эти объекты находятся на праве собственности, аренды или на ином праве;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данной организацией услуг, указанных в настоящем абзаце, если такие услуги состоят в получении возможности разместить информацию о потенциальном спросе на услуги по перевозке пассажиров и багажа легковым такси, а также в получении возможности ознакомиться с информацией о предложениях организаций, оказывающих услуги в указанной сфере и осуществить поиск таких предложений по заданным параметрам;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в получении возможности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разместить информацию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об услугах общественного питания, заключить договор о реализации определенного товара (блюда), изготовленного организацией, оказывающей услуги общественного питания, заключить договор купли-продажи, произвести предварительную оплату такого товара (блюда), при этом организация-плательщик также обеспечивает возможность доставки, выдачи такого товара (блюда) покупателю;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 получении возможности участвовать в процедуре закупок, предусмотренных Федеральным </w:t>
      </w:r>
      <w:hyperlink r:id="rId28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законом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от 5 апреля 2013 года N 44-ФЗ "О контрактной системе в сфере закупок товаров, работ, услуг для обеспечения государственных и муниципальных нужд" и Федеральным </w:t>
      </w:r>
      <w:hyperlink r:id="rId29" w:history="1">
        <w:r w:rsidRPr="002D79EF">
          <w:rPr>
            <w:rFonts w:ascii="Times New Roman" w:eastAsia="Times New Roman" w:hAnsi="Times New Roman"/>
            <w:color w:val="1A0DAB"/>
            <w:sz w:val="15"/>
            <w:u w:val="single"/>
            <w:lang w:eastAsia="ru-RU"/>
          </w:rPr>
          <w:t>законом</w:t>
        </w:r>
      </w:hyperlink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 от 18 июля 2011 года N 223-ФЗ "О закупках товаров, работ, услуг отдельными видами юридических лиц";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в получении возможности участвовать в организованных торгах на товарном рынке; в получении возможности инициировать и осуществлять операции по безналичному переводу денежных средств; в получении банковских, финансовых услуг, в том числе услуг финансирования под уступку денежного требования, услуг на рынке ценных бумаг (дилерская деятельность, брокерская деятельность, деятельность </w:t>
      </w:r>
      <w:proofErr w:type="spell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форекс-дилеров</w:t>
      </w:r>
      <w:proofErr w:type="spell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), предоставляемых (оказываемых) банками, кредитными организациями, небанковскими кредитными организациями и иными организациями;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в получении услуг, связанных с совершением сделок с недвижимым имуществом, в отношении объектов недвижимости продавцов и (или) застройщиков и (или) объектов долевого строительства; в получении возможности формировать средства идентификации (коды маркировки), предоставляемой оператором государственной информационной системы мониторинга за оборотом товаров, подлежащих обязательной маркировке средствами идентификации;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в получении возможности осуществлять хранение данных в центрах обработки данных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;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в получении возможности получать услуги связи по передаче данных в целях передачи голосовой информации, предоставляемой оператором связи);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от оказания данной организацией, имеющей лицензию на осуществление образовательной деятельности,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данных), в том числе путем предоставления удаленного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доступа к собственным программам для ЭВМ, базам данных, услуг по предоставлению доступа к электронной образовательной и (или) просветительской информации (сервисам).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>В целях настоящего пункта сумма доходов определяется по данным налогового учета организации в соответствии со статьей 248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настоящего Кодекса, при этом в нее не включаются доходы, указанные в пунктах 2 и 11 части второй статьи 250</w:t>
      </w:r>
      <w:r w:rsidR="0083560E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 </w:t>
      </w:r>
      <w:r w:rsidR="0083560E" w:rsidRPr="0083560E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(курсовые разницы)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и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 xml:space="preserve">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пункте 4.1 статьи 271</w:t>
      </w:r>
      <w:r w:rsidR="0083560E" w:rsidRPr="0083560E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(субсидии)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настоящего Кодекса, а также доходы от уступки прав требования долга, возникшего при признании доходов, указанных в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настоящем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пункте.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В случае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,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если по итогам расчетного периода данная организация не выполняет условие о доле доходов, установленное настоящим пунктом, а также в случае лишения ее государственной аккредитации либо статуса резидента технико-внедренческой особой экономической зоны или промышленно-производственной особой экономической зоны данная организация лишается права применять тарифы страховых взносов, предусмотренные подпунктом 1.1 пункта 2 настоящей статьи, с начала расчетного периода, в котором допущено несоответствие установленному условию, либо данная организация лишена государственной аккредитации, либо в реестр резидентов особой экономической зоны внесена запись о лишении данной организации статуса резидента технико-внедренческой особой экономической зоны или промышленно-производственной особой экономической зоны.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Вне зависимости от выполнения иных условий, установленных настоящим пунктом, тарифы страховых взносов, установленные подпунктом 1.1 пункта 2 настоящей статьи,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не подлежат применению:</w:t>
      </w:r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организациями, созданными в результате реорганизации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(кроме преобразования) или реорганизованными в форме присоединения к ним другого юридического лица либо выделения из его состава одного или нескольких юридических лиц после 1 июля 2022 года;</w:t>
      </w:r>
      <w:proofErr w:type="gramEnd"/>
    </w:p>
    <w:p w:rsidR="002D79EF" w:rsidRPr="002D79EF" w:rsidRDefault="002D79EF" w:rsidP="002D79EF">
      <w:pPr>
        <w:shd w:val="clear" w:color="auto" w:fill="FFFFFF"/>
        <w:spacing w:before="105" w:after="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организациями (в том числе кредитными организациями), в которых прямо и (или) косвенно участвует Российская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Федерация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и доля такого участия составляет не менее 50 процентов.</w:t>
      </w:r>
    </w:p>
    <w:p w:rsidR="002D79EF" w:rsidRDefault="002D79EF" w:rsidP="002D79EF">
      <w:pPr>
        <w:shd w:val="clear" w:color="auto" w:fill="FFFFFF"/>
        <w:spacing w:before="105" w:after="180" w:line="180" w:lineRule="atLeast"/>
        <w:ind w:firstLine="540"/>
        <w:jc w:val="both"/>
        <w:rPr>
          <w:rFonts w:ascii="Times New Roman" w:eastAsia="Times New Roman" w:hAnsi="Times New Roman"/>
          <w:color w:val="000000"/>
          <w:sz w:val="15"/>
          <w:szCs w:val="15"/>
          <w:lang w:eastAsia="ru-RU"/>
        </w:rPr>
      </w:pP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В целях настоящего пункта </w:t>
      </w:r>
      <w:r w:rsidRPr="002D79EF">
        <w:rPr>
          <w:rFonts w:ascii="Times New Roman" w:eastAsia="Times New Roman" w:hAnsi="Times New Roman"/>
          <w:b/>
          <w:color w:val="000000"/>
          <w:sz w:val="15"/>
          <w:szCs w:val="15"/>
          <w:lang w:eastAsia="ru-RU"/>
        </w:rPr>
        <w:t>лицом, входящим в одну группу лиц с данной организацией, признается лицо, которое прямо участвует в данной организации,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либо в котором прямо участвует данная организация, либо в котором и в данной организации прямо участвует третье </w:t>
      </w:r>
      <w:proofErr w:type="gramStart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лицо</w:t>
      </w:r>
      <w:proofErr w:type="gramEnd"/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 xml:space="preserve"> 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highlight w:val="yellow"/>
          <w:lang w:eastAsia="ru-RU"/>
        </w:rPr>
        <w:t>и доля участия во всех случаях составляет более 50 процентов</w:t>
      </w:r>
      <w:r w:rsidRPr="002D79EF">
        <w:rPr>
          <w:rFonts w:ascii="Times New Roman" w:eastAsia="Times New Roman" w:hAnsi="Times New Roman"/>
          <w:color w:val="000000"/>
          <w:sz w:val="15"/>
          <w:szCs w:val="15"/>
          <w:lang w:eastAsia="ru-RU"/>
        </w:rPr>
        <w:t>.".</w:t>
      </w:r>
    </w:p>
    <w:p w:rsidR="00622F1A" w:rsidRDefault="00622F1A" w:rsidP="00622F1A">
      <w:pPr>
        <w:pStyle w:val="a6"/>
        <w:shd w:val="clear" w:color="auto" w:fill="FFFFFF"/>
        <w:spacing w:before="0" w:beforeAutospacing="0" w:after="0" w:afterAutospacing="0" w:line="225" w:lineRule="atLeast"/>
        <w:outlineLvl w:val="1"/>
        <w:rPr>
          <w:rFonts w:ascii="Arial" w:hAnsi="Arial" w:cs="Arial"/>
          <w:b/>
          <w:bCs/>
          <w:color w:val="000000"/>
          <w:kern w:val="36"/>
          <w:sz w:val="15"/>
          <w:szCs w:val="15"/>
        </w:rPr>
      </w:pPr>
      <w:r>
        <w:rPr>
          <w:rFonts w:ascii="Arial" w:hAnsi="Arial" w:cs="Arial"/>
          <w:b/>
          <w:bCs/>
          <w:color w:val="000000"/>
          <w:kern w:val="36"/>
          <w:sz w:val="15"/>
          <w:szCs w:val="15"/>
        </w:rPr>
        <w:lastRenderedPageBreak/>
        <w:t>Статья 2</w:t>
      </w:r>
    </w:p>
    <w:p w:rsidR="00622F1A" w:rsidRDefault="00622F1A" w:rsidP="00622F1A">
      <w:pPr>
        <w:pStyle w:val="a6"/>
        <w:shd w:val="clear" w:color="auto" w:fill="FFFFFF"/>
        <w:spacing w:before="0" w:beforeAutospacing="0" w:after="0" w:afterAutospacing="0" w:line="180" w:lineRule="atLeast"/>
        <w:ind w:firstLine="54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 xml:space="preserve">1. </w:t>
      </w:r>
      <w:proofErr w:type="gramStart"/>
      <w:r>
        <w:rPr>
          <w:color w:val="000000"/>
          <w:sz w:val="15"/>
          <w:szCs w:val="15"/>
        </w:rPr>
        <w:t>Установить, что в отчетных (расчетном) периодах 2022 года при определении суммы всех доходов организации, учитываемых при определении налоговой базы по налогу на прибыль организаций в соответствии с главой 25 Налогового кодекса Российской Федерации, в целях применения абзацев третьего - шестого и восьмого - шестнадцатого пункта 5 статьи 427 Налогового кодекса Российской Федерации (в редакции настоящего Федерального закона) не учитываются доходы от реализации</w:t>
      </w:r>
      <w:proofErr w:type="gramEnd"/>
      <w:r>
        <w:rPr>
          <w:color w:val="000000"/>
          <w:sz w:val="15"/>
          <w:szCs w:val="15"/>
        </w:rPr>
        <w:t xml:space="preserve"> или иного выбытия долей участия в уставном капитале организаций, если на дату реализации или иного выбытия они принадлежат налогоплательщику на праве собственности более одного года.</w:t>
      </w:r>
    </w:p>
    <w:p w:rsidR="00622F1A" w:rsidRPr="00AF61CD" w:rsidRDefault="00622F1A" w:rsidP="00622F1A">
      <w:pPr>
        <w:pStyle w:val="a6"/>
        <w:shd w:val="clear" w:color="auto" w:fill="FFFFFF"/>
        <w:spacing w:before="105" w:beforeAutospacing="0" w:after="0" w:afterAutospacing="0" w:line="180" w:lineRule="atLeast"/>
        <w:ind w:firstLine="540"/>
        <w:rPr>
          <w:b/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 xml:space="preserve">2. </w:t>
      </w:r>
      <w:proofErr w:type="gramStart"/>
      <w:r>
        <w:rPr>
          <w:color w:val="000000"/>
          <w:sz w:val="15"/>
          <w:szCs w:val="15"/>
        </w:rPr>
        <w:t>Плательщики, которые получили документ о государственной аккредитации организации, осуществляющей деятельность в области информационных технологий, и которые по итогам отчетных периодов - первого квартала и полугодия 2022 года с учетом положений </w:t>
      </w:r>
      <w:hyperlink r:id="rId30" w:anchor="dst100068" w:history="1">
        <w:r>
          <w:rPr>
            <w:rStyle w:val="a7"/>
            <w:rFonts w:eastAsiaTheme="minorEastAsia"/>
            <w:color w:val="1A0DAB"/>
            <w:sz w:val="15"/>
            <w:szCs w:val="15"/>
          </w:rPr>
          <w:t>части 1</w:t>
        </w:r>
      </w:hyperlink>
      <w:r>
        <w:rPr>
          <w:color w:val="000000"/>
          <w:sz w:val="15"/>
          <w:szCs w:val="15"/>
        </w:rPr>
        <w:t xml:space="preserve"> настоящей статьи не выполняют условие о доле доходов, предусмотренное абзацами третьим - шестым и восьмым - шестнадцатым пункта 5 статьи 427 Налогового кодекса Российской Федерации (в редакции настоящего Федерального закона), </w:t>
      </w:r>
      <w:r w:rsidRPr="00AF61CD">
        <w:rPr>
          <w:b/>
          <w:color w:val="000000"/>
          <w:sz w:val="15"/>
          <w:szCs w:val="15"/>
        </w:rPr>
        <w:t>вправе</w:t>
      </w:r>
      <w:proofErr w:type="gramEnd"/>
      <w:r w:rsidRPr="00AF61CD">
        <w:rPr>
          <w:b/>
          <w:color w:val="000000"/>
          <w:sz w:val="15"/>
          <w:szCs w:val="15"/>
        </w:rPr>
        <w:t xml:space="preserve"> </w:t>
      </w:r>
      <w:proofErr w:type="gramStart"/>
      <w:r w:rsidRPr="00AF61CD">
        <w:rPr>
          <w:b/>
          <w:color w:val="000000"/>
          <w:sz w:val="15"/>
          <w:szCs w:val="15"/>
        </w:rPr>
        <w:t xml:space="preserve">применять в период с 1 июля по 31 декабря 2022 года пониженные тарифы страховых взносов, предусмотренные подпунктом 1.1 пункта 2 статьи 427 </w:t>
      </w:r>
      <w:r w:rsidRPr="00AF61CD">
        <w:rPr>
          <w:color w:val="000000"/>
          <w:sz w:val="15"/>
          <w:szCs w:val="15"/>
        </w:rPr>
        <w:t>Налогового кодекса Российской Федерации</w:t>
      </w:r>
      <w:r w:rsidRPr="00AF61CD">
        <w:rPr>
          <w:b/>
          <w:color w:val="000000"/>
          <w:sz w:val="15"/>
          <w:szCs w:val="15"/>
        </w:rPr>
        <w:t>, при соблюдении условия о доле доходов</w:t>
      </w:r>
      <w:r w:rsidRPr="00AF61CD">
        <w:rPr>
          <w:color w:val="000000"/>
          <w:sz w:val="15"/>
          <w:szCs w:val="15"/>
        </w:rPr>
        <w:t>, предусмотренного абзацами третьим - шестым и восьмым - шестнадцатым пункта 5 статьи 427 Налогового кодекса Российской Федерации (в редакции настоящего Федерального закона) с учетом положений </w:t>
      </w:r>
      <w:hyperlink r:id="rId31" w:anchor="dst100068" w:history="1">
        <w:r w:rsidRPr="00AF61CD">
          <w:rPr>
            <w:rStyle w:val="a7"/>
            <w:rFonts w:eastAsiaTheme="minorEastAsia"/>
            <w:color w:val="1A0DAB"/>
            <w:sz w:val="15"/>
            <w:szCs w:val="15"/>
          </w:rPr>
          <w:t>части 1</w:t>
        </w:r>
      </w:hyperlink>
      <w:r w:rsidRPr="00AF61CD">
        <w:rPr>
          <w:color w:val="000000"/>
          <w:sz w:val="15"/>
          <w:szCs w:val="15"/>
        </w:rPr>
        <w:t> настоящей статьи,</w:t>
      </w:r>
      <w:r w:rsidRPr="00AF61CD">
        <w:rPr>
          <w:b/>
          <w:color w:val="000000"/>
          <w:sz w:val="15"/>
          <w:szCs w:val="15"/>
        </w:rPr>
        <w:t xml:space="preserve"> по</w:t>
      </w:r>
      <w:proofErr w:type="gramEnd"/>
      <w:r w:rsidRPr="00AF61CD">
        <w:rPr>
          <w:b/>
          <w:color w:val="000000"/>
          <w:sz w:val="15"/>
          <w:szCs w:val="15"/>
        </w:rPr>
        <w:t xml:space="preserve"> итогам периодов с 1 июля по 30 сентября 2022 года и с 1 июля по 31 декабря 2022 года.</w:t>
      </w:r>
    </w:p>
    <w:p w:rsidR="00622F1A" w:rsidRDefault="00622F1A" w:rsidP="00622F1A">
      <w:pPr>
        <w:pStyle w:val="a6"/>
        <w:shd w:val="clear" w:color="auto" w:fill="FFFFFF"/>
        <w:spacing w:before="105" w:beforeAutospacing="0" w:after="0" w:afterAutospacing="0" w:line="180" w:lineRule="atLeast"/>
        <w:ind w:firstLine="54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 xml:space="preserve">3. </w:t>
      </w:r>
      <w:proofErr w:type="gramStart"/>
      <w:r>
        <w:rPr>
          <w:color w:val="000000"/>
          <w:sz w:val="15"/>
          <w:szCs w:val="15"/>
        </w:rPr>
        <w:t>Организации, получившие документ о государственной аккредитации организации, осуществляющей деятельность в области информационных технологий, до 1 июля 2022 года и применяющие в 2022 году налоговую ставку, установленную пунктом 1.15 статьи 284 Налогового кодекса Российской Федерации (в редакции, действовавшей до дня вступления в силу настоящего Федерального закона), в 2022 - 2024 годах вправе применять налоговую ставку, установленную пунктом 1.15 статьи 284 Налогового кодекса</w:t>
      </w:r>
      <w:proofErr w:type="gramEnd"/>
      <w:r>
        <w:rPr>
          <w:color w:val="000000"/>
          <w:sz w:val="15"/>
          <w:szCs w:val="15"/>
        </w:rPr>
        <w:t xml:space="preserve"> Российской Федерации (в редакции настоящего Федерального закона), при соответствии условиям, установленным указанным пунктом, без учета выполнения условий, предусмотренных абзацами девятнадцатым - двадцать первым пункта 1.15 статьи 284 Налогового кодекса Российской Федерации (в редакции настоящего Федерального закона).</w:t>
      </w:r>
    </w:p>
    <w:p w:rsidR="00622F1A" w:rsidRDefault="00622F1A" w:rsidP="00622F1A">
      <w:pPr>
        <w:pStyle w:val="a6"/>
        <w:shd w:val="clear" w:color="auto" w:fill="FFFFFF"/>
        <w:spacing w:before="105" w:beforeAutospacing="0" w:after="0" w:afterAutospacing="0" w:line="180" w:lineRule="atLeast"/>
        <w:ind w:firstLine="54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 xml:space="preserve">4. </w:t>
      </w:r>
      <w:proofErr w:type="gramStart"/>
      <w:r>
        <w:rPr>
          <w:color w:val="000000"/>
          <w:sz w:val="15"/>
          <w:szCs w:val="15"/>
        </w:rPr>
        <w:t xml:space="preserve">Организации, </w:t>
      </w:r>
      <w:r w:rsidRPr="00DF5790">
        <w:rPr>
          <w:color w:val="000000"/>
          <w:sz w:val="15"/>
          <w:szCs w:val="15"/>
          <w:highlight w:val="yellow"/>
        </w:rPr>
        <w:t>получившие документ о государственной аккредитации организации, осуществляющей деятельность в области информационных технологий, до 1 июля 2022</w:t>
      </w:r>
      <w:r>
        <w:rPr>
          <w:color w:val="000000"/>
          <w:sz w:val="15"/>
          <w:szCs w:val="15"/>
        </w:rPr>
        <w:t xml:space="preserve"> года и применяющие в 2022 году тарифы страховых взносов, установленные подпунктом 1.1 пункта 2 статьи 427 Налогового кодекса Российской Федерации, </w:t>
      </w:r>
      <w:r w:rsidRPr="00255CC5">
        <w:rPr>
          <w:color w:val="000000"/>
          <w:sz w:val="15"/>
          <w:szCs w:val="15"/>
          <w:highlight w:val="yellow"/>
        </w:rPr>
        <w:t>начиная с 1 января 2022 года вправе применять тарифы страховых взносов, установленные подпунктом 1.1 пункта 2 статьи 427</w:t>
      </w:r>
      <w:r>
        <w:rPr>
          <w:color w:val="000000"/>
          <w:sz w:val="15"/>
          <w:szCs w:val="15"/>
        </w:rPr>
        <w:t xml:space="preserve"> Налогового кодекса Российской Федерации, </w:t>
      </w:r>
      <w:r w:rsidRPr="00255CC5">
        <w:rPr>
          <w:color w:val="000000"/>
          <w:sz w:val="15"/>
          <w:szCs w:val="15"/>
          <w:highlight w:val="yellow"/>
        </w:rPr>
        <w:t>при</w:t>
      </w:r>
      <w:proofErr w:type="gramEnd"/>
      <w:r w:rsidRPr="00255CC5">
        <w:rPr>
          <w:color w:val="000000"/>
          <w:sz w:val="15"/>
          <w:szCs w:val="15"/>
          <w:highlight w:val="yellow"/>
        </w:rPr>
        <w:t xml:space="preserve"> </w:t>
      </w:r>
      <w:proofErr w:type="gramStart"/>
      <w:r w:rsidRPr="00255CC5">
        <w:rPr>
          <w:color w:val="000000"/>
          <w:sz w:val="15"/>
          <w:szCs w:val="15"/>
          <w:highlight w:val="yellow"/>
        </w:rPr>
        <w:t>соблюдении условий, установленных пунктом 5 статьи 427</w:t>
      </w:r>
      <w:r>
        <w:rPr>
          <w:color w:val="000000"/>
          <w:sz w:val="15"/>
          <w:szCs w:val="15"/>
        </w:rPr>
        <w:t xml:space="preserve"> Налогового кодекса Российской Федерации (в редакции настоящего Федерального закона), </w:t>
      </w:r>
      <w:r w:rsidRPr="00255CC5">
        <w:rPr>
          <w:color w:val="000000"/>
          <w:sz w:val="15"/>
          <w:szCs w:val="15"/>
          <w:highlight w:val="yellow"/>
        </w:rPr>
        <w:t>без учета выполнения условий, предусмотренных абзацами девятнадцатым - двадцать первым пункта 5</w:t>
      </w:r>
      <w:r>
        <w:rPr>
          <w:color w:val="000000"/>
          <w:sz w:val="15"/>
          <w:szCs w:val="15"/>
        </w:rPr>
        <w:t xml:space="preserve"> статьи 427</w:t>
      </w:r>
      <w:r w:rsidR="00DF0E55">
        <w:rPr>
          <w:color w:val="000000"/>
          <w:sz w:val="15"/>
          <w:szCs w:val="15"/>
        </w:rPr>
        <w:t xml:space="preserve"> </w:t>
      </w:r>
      <w:r w:rsidR="00DF0E55" w:rsidRPr="00DF0E55">
        <w:rPr>
          <w:i/>
          <w:color w:val="000000"/>
          <w:sz w:val="15"/>
          <w:szCs w:val="15"/>
        </w:rPr>
        <w:t>(реорганизованные организации)</w:t>
      </w:r>
      <w:r w:rsidR="00DF0E55">
        <w:rPr>
          <w:color w:val="000000"/>
          <w:sz w:val="15"/>
          <w:szCs w:val="15"/>
        </w:rPr>
        <w:t xml:space="preserve"> </w:t>
      </w:r>
      <w:r>
        <w:rPr>
          <w:color w:val="000000"/>
          <w:sz w:val="15"/>
          <w:szCs w:val="15"/>
        </w:rPr>
        <w:t xml:space="preserve"> Налогового кодекса Российской Федерации (в редакции настоящего Федерального закона).</w:t>
      </w:r>
      <w:proofErr w:type="gramEnd"/>
    </w:p>
    <w:p w:rsidR="00622F1A" w:rsidRDefault="00622F1A" w:rsidP="00622F1A">
      <w:pPr>
        <w:pStyle w:val="a6"/>
        <w:shd w:val="clear" w:color="auto" w:fill="FFFFFF"/>
        <w:spacing w:before="105" w:beforeAutospacing="0" w:after="0" w:afterAutospacing="0" w:line="180" w:lineRule="atLeast"/>
        <w:ind w:firstLine="54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5</w:t>
      </w:r>
      <w:r w:rsidRPr="00622F1A">
        <w:rPr>
          <w:color w:val="000000"/>
          <w:sz w:val="15"/>
          <w:szCs w:val="15"/>
          <w:highlight w:val="yellow"/>
        </w:rPr>
        <w:t>. Порядок государственной аккредитаци</w:t>
      </w:r>
      <w:r>
        <w:rPr>
          <w:color w:val="000000"/>
          <w:sz w:val="15"/>
          <w:szCs w:val="15"/>
        </w:rPr>
        <w:t xml:space="preserve">и организаций, осуществляющих деятельность в области информационных технологий, действующий на день вступления в силу настоящего Федерального закона, </w:t>
      </w:r>
      <w:r w:rsidRPr="00622F1A">
        <w:rPr>
          <w:color w:val="000000"/>
          <w:sz w:val="15"/>
          <w:szCs w:val="15"/>
          <w:highlight w:val="yellow"/>
        </w:rPr>
        <w:t>применяется до 1 августа 2022 года.</w:t>
      </w:r>
    </w:p>
    <w:p w:rsidR="008154E1" w:rsidRDefault="008154E1" w:rsidP="008154E1">
      <w:pPr>
        <w:pStyle w:val="a6"/>
        <w:shd w:val="clear" w:color="auto" w:fill="FFFFFF"/>
        <w:spacing w:before="0" w:beforeAutospacing="0" w:after="0" w:afterAutospacing="0" w:line="225" w:lineRule="atLeast"/>
        <w:outlineLvl w:val="1"/>
        <w:rPr>
          <w:rFonts w:ascii="Arial" w:hAnsi="Arial" w:cs="Arial"/>
          <w:b/>
          <w:bCs/>
          <w:color w:val="000000"/>
          <w:kern w:val="36"/>
          <w:sz w:val="15"/>
          <w:szCs w:val="15"/>
        </w:rPr>
      </w:pPr>
    </w:p>
    <w:p w:rsidR="008154E1" w:rsidRDefault="008154E1" w:rsidP="008154E1">
      <w:pPr>
        <w:pStyle w:val="a6"/>
        <w:shd w:val="clear" w:color="auto" w:fill="FFFFFF"/>
        <w:spacing w:before="0" w:beforeAutospacing="0" w:after="0" w:afterAutospacing="0" w:line="225" w:lineRule="atLeast"/>
        <w:outlineLvl w:val="1"/>
        <w:rPr>
          <w:rFonts w:ascii="Arial" w:hAnsi="Arial" w:cs="Arial"/>
          <w:b/>
          <w:bCs/>
          <w:color w:val="000000"/>
          <w:kern w:val="36"/>
          <w:sz w:val="15"/>
          <w:szCs w:val="15"/>
        </w:rPr>
      </w:pPr>
      <w:r>
        <w:rPr>
          <w:rFonts w:ascii="Arial" w:hAnsi="Arial" w:cs="Arial"/>
          <w:b/>
          <w:bCs/>
          <w:color w:val="000000"/>
          <w:kern w:val="36"/>
          <w:sz w:val="15"/>
          <w:szCs w:val="15"/>
        </w:rPr>
        <w:t>Статья 3</w:t>
      </w:r>
    </w:p>
    <w:p w:rsidR="008154E1" w:rsidRDefault="008154E1" w:rsidP="008154E1">
      <w:pPr>
        <w:pStyle w:val="a6"/>
        <w:shd w:val="clear" w:color="auto" w:fill="FFFFFF"/>
        <w:spacing w:before="0" w:beforeAutospacing="0" w:after="0" w:afterAutospacing="0"/>
        <w:ind w:firstLine="54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1. Настоящий Федеральный закон вступает в силу со дня его официального опубликования, за исключением положений, для которых настоящей статьей предусмотрен иной срок вступления их в силу.</w:t>
      </w:r>
    </w:p>
    <w:p w:rsidR="008154E1" w:rsidRDefault="008154E1" w:rsidP="008154E1">
      <w:pPr>
        <w:pStyle w:val="a6"/>
        <w:shd w:val="clear" w:color="auto" w:fill="FFFFFF"/>
        <w:spacing w:before="105" w:beforeAutospacing="0" w:after="0" w:afterAutospacing="0"/>
        <w:ind w:firstLine="54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2. </w:t>
      </w:r>
      <w:hyperlink r:id="rId32" w:anchor="dst100010" w:history="1">
        <w:r>
          <w:rPr>
            <w:rStyle w:val="a7"/>
            <w:rFonts w:eastAsiaTheme="minorEastAsia"/>
            <w:color w:val="1A0DAB"/>
            <w:sz w:val="15"/>
            <w:szCs w:val="15"/>
          </w:rPr>
          <w:t>Пункты 1</w:t>
        </w:r>
      </w:hyperlink>
      <w:r>
        <w:rPr>
          <w:color w:val="000000"/>
          <w:sz w:val="15"/>
          <w:szCs w:val="15"/>
        </w:rPr>
        <w:t> и </w:t>
      </w:r>
      <w:hyperlink r:id="rId33" w:anchor="dst100014" w:history="1">
        <w:r>
          <w:rPr>
            <w:rStyle w:val="a7"/>
            <w:rFonts w:eastAsiaTheme="minorEastAsia"/>
            <w:color w:val="1A0DAB"/>
            <w:sz w:val="15"/>
            <w:szCs w:val="15"/>
          </w:rPr>
          <w:t>2</w:t>
        </w:r>
      </w:hyperlink>
      <w:r>
        <w:rPr>
          <w:color w:val="000000"/>
          <w:sz w:val="15"/>
          <w:szCs w:val="15"/>
        </w:rPr>
        <w:t>, </w:t>
      </w:r>
      <w:hyperlink r:id="rId34" w:anchor="dst100025" w:history="1">
        <w:r>
          <w:rPr>
            <w:rStyle w:val="a7"/>
            <w:rFonts w:eastAsiaTheme="minorEastAsia"/>
            <w:color w:val="1A0DAB"/>
            <w:sz w:val="15"/>
            <w:szCs w:val="15"/>
          </w:rPr>
          <w:t>абзац вось</w:t>
        </w:r>
        <w:r>
          <w:rPr>
            <w:rStyle w:val="a7"/>
            <w:rFonts w:eastAsiaTheme="minorEastAsia"/>
            <w:color w:val="1A0DAB"/>
            <w:sz w:val="15"/>
            <w:szCs w:val="15"/>
          </w:rPr>
          <w:t>м</w:t>
        </w:r>
        <w:r>
          <w:rPr>
            <w:rStyle w:val="a7"/>
            <w:rFonts w:eastAsiaTheme="minorEastAsia"/>
            <w:color w:val="1A0DAB"/>
            <w:sz w:val="15"/>
            <w:szCs w:val="15"/>
          </w:rPr>
          <w:t>ой пункта 3</w:t>
        </w:r>
      </w:hyperlink>
      <w:r>
        <w:rPr>
          <w:color w:val="000000"/>
          <w:sz w:val="15"/>
          <w:szCs w:val="15"/>
        </w:rPr>
        <w:t> и </w:t>
      </w:r>
      <w:hyperlink r:id="rId35" w:anchor="dst100051" w:history="1">
        <w:r>
          <w:rPr>
            <w:rStyle w:val="a7"/>
            <w:rFonts w:eastAsiaTheme="minorEastAsia"/>
            <w:color w:val="1A0DAB"/>
            <w:sz w:val="15"/>
            <w:szCs w:val="15"/>
          </w:rPr>
          <w:t>абзац восьмой по</w:t>
        </w:r>
        <w:r>
          <w:rPr>
            <w:rStyle w:val="a7"/>
            <w:rFonts w:eastAsiaTheme="minorEastAsia"/>
            <w:color w:val="1A0DAB"/>
            <w:sz w:val="15"/>
            <w:szCs w:val="15"/>
          </w:rPr>
          <w:t>д</w:t>
        </w:r>
        <w:r>
          <w:rPr>
            <w:rStyle w:val="a7"/>
            <w:rFonts w:eastAsiaTheme="minorEastAsia"/>
            <w:color w:val="1A0DAB"/>
            <w:sz w:val="15"/>
            <w:szCs w:val="15"/>
          </w:rPr>
          <w:t>пункта "б" пункта 4 статьи 1</w:t>
        </w:r>
      </w:hyperlink>
      <w:r>
        <w:rPr>
          <w:color w:val="000000"/>
          <w:sz w:val="15"/>
          <w:szCs w:val="15"/>
        </w:rPr>
        <w:t> настоящего Федерального закона вступают в силу по истечении одного месяца со дня официального опубликования настоящего Федерального закона, но не ранее 1-го числа очередного налогового периода по соответствующему налогу (расчетного периода по страховым взносам).</w:t>
      </w:r>
    </w:p>
    <w:p w:rsidR="008154E1" w:rsidRDefault="008154E1" w:rsidP="008154E1">
      <w:pPr>
        <w:pStyle w:val="a6"/>
        <w:shd w:val="clear" w:color="auto" w:fill="FFFFFF"/>
        <w:spacing w:before="105" w:beforeAutospacing="0" w:after="0" w:afterAutospacing="0"/>
        <w:ind w:firstLine="54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 xml:space="preserve">3. </w:t>
      </w:r>
      <w:proofErr w:type="gramStart"/>
      <w:r>
        <w:rPr>
          <w:color w:val="000000"/>
          <w:sz w:val="15"/>
          <w:szCs w:val="15"/>
        </w:rPr>
        <w:t xml:space="preserve">Действие положений абзацев первого, третьего - шестого и восьмого - двадцать второго пункта 1.15 статьи 284, </w:t>
      </w:r>
      <w:r w:rsidRPr="00FC6B9B">
        <w:rPr>
          <w:b/>
          <w:color w:val="000000"/>
          <w:sz w:val="15"/>
          <w:szCs w:val="15"/>
        </w:rPr>
        <w:t>подпункта 3 пункта 1,</w:t>
      </w:r>
      <w:r>
        <w:rPr>
          <w:color w:val="000000"/>
          <w:sz w:val="15"/>
          <w:szCs w:val="15"/>
        </w:rPr>
        <w:t xml:space="preserve"> абзацев первого - шестого и восьмого - двадцать второго пункта 5 статьи 427 Налогового кодекса Российской Федерации (в редакции настоящего Федерального закона) </w:t>
      </w:r>
      <w:r w:rsidRPr="00E7693D">
        <w:rPr>
          <w:b/>
          <w:color w:val="000000"/>
          <w:sz w:val="15"/>
          <w:szCs w:val="15"/>
        </w:rPr>
        <w:t>распространяется на правоотношения, возникшие с 1 января 2022 года</w:t>
      </w:r>
      <w:r>
        <w:rPr>
          <w:color w:val="000000"/>
          <w:sz w:val="15"/>
          <w:szCs w:val="15"/>
        </w:rPr>
        <w:t xml:space="preserve"> с учетом особенностей, установленных </w:t>
      </w:r>
      <w:hyperlink r:id="rId36" w:anchor="dst100067" w:history="1">
        <w:r>
          <w:rPr>
            <w:rStyle w:val="a7"/>
            <w:rFonts w:eastAsiaTheme="minorEastAsia"/>
            <w:color w:val="1A0DAB"/>
            <w:sz w:val="15"/>
            <w:szCs w:val="15"/>
          </w:rPr>
          <w:t>статьей 2</w:t>
        </w:r>
      </w:hyperlink>
      <w:r>
        <w:rPr>
          <w:color w:val="000000"/>
          <w:sz w:val="15"/>
          <w:szCs w:val="15"/>
        </w:rPr>
        <w:t> настоящего Федерального закона.</w:t>
      </w:r>
      <w:proofErr w:type="gramEnd"/>
    </w:p>
    <w:p w:rsidR="008154E1" w:rsidRDefault="008154E1" w:rsidP="008154E1">
      <w:pPr>
        <w:pStyle w:val="a6"/>
        <w:shd w:val="clear" w:color="auto" w:fill="FFFFFF"/>
        <w:spacing w:before="105" w:beforeAutospacing="0" w:after="0" w:afterAutospacing="0"/>
        <w:ind w:firstLine="54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4. Положения абзаца шестого пункта 1.15 статьи 284 и абзаца шестого пункта 5 статьи 427 Налогового кодекса Российской Федерации действуют до 31 декабря 2022 года включительно.</w:t>
      </w:r>
    </w:p>
    <w:p w:rsidR="008154E1" w:rsidRDefault="008154E1" w:rsidP="008154E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Президент</w:t>
      </w:r>
    </w:p>
    <w:p w:rsidR="008154E1" w:rsidRDefault="008154E1" w:rsidP="008154E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Российской Федерации</w:t>
      </w:r>
    </w:p>
    <w:p w:rsidR="008154E1" w:rsidRDefault="008154E1" w:rsidP="008154E1">
      <w:pPr>
        <w:pStyle w:val="alignright"/>
        <w:shd w:val="clear" w:color="auto" w:fill="FFFFFF"/>
        <w:spacing w:before="0" w:beforeAutospacing="0" w:after="0" w:afterAutospacing="0"/>
        <w:jc w:val="right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В.ПУТИН</w:t>
      </w:r>
    </w:p>
    <w:p w:rsidR="008154E1" w:rsidRDefault="008154E1" w:rsidP="008154E1">
      <w:pPr>
        <w:pStyle w:val="alignleft"/>
        <w:shd w:val="clear" w:color="auto" w:fill="FFFFFF"/>
        <w:spacing w:before="105" w:beforeAutospacing="0" w:after="0" w:afterAutospacing="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Москва, Кремль</w:t>
      </w:r>
    </w:p>
    <w:p w:rsidR="008154E1" w:rsidRDefault="008154E1" w:rsidP="008154E1">
      <w:pPr>
        <w:pStyle w:val="alignleft"/>
        <w:shd w:val="clear" w:color="auto" w:fill="FFFFFF"/>
        <w:spacing w:before="105" w:beforeAutospacing="0" w:after="0" w:afterAutospacing="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14 июля 2022 года</w:t>
      </w:r>
    </w:p>
    <w:p w:rsidR="008154E1" w:rsidRDefault="008154E1" w:rsidP="008154E1">
      <w:pPr>
        <w:pStyle w:val="alignleft"/>
        <w:shd w:val="clear" w:color="auto" w:fill="FFFFFF"/>
        <w:spacing w:before="105" w:beforeAutospacing="0" w:after="0" w:afterAutospacing="0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N 321-ФЗ</w:t>
      </w:r>
    </w:p>
    <w:p w:rsidR="002D79EF" w:rsidRPr="002D79EF" w:rsidRDefault="002D79EF" w:rsidP="002D79EF">
      <w:pPr>
        <w:shd w:val="clear" w:color="auto" w:fill="FFFFFF"/>
        <w:spacing w:line="165" w:lineRule="atLeast"/>
        <w:jc w:val="both"/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  <w:hyperlink r:id="rId37" w:history="1">
        <w:r w:rsidRPr="002D79EF">
          <w:rPr>
            <w:rFonts w:ascii="Arial" w:eastAsia="Times New Roman" w:hAnsi="Arial" w:cs="Arial"/>
            <w:color w:val="1A0DAB"/>
            <w:sz w:val="13"/>
            <w:u w:val="single"/>
            <w:lang w:eastAsia="ru-RU"/>
          </w:rPr>
          <w:t>Федеральный закон от 14.07.2022 N 321-ФЗ "О внесении изменений в часть вторую Налогового кодекса Российской Федерации"</w:t>
        </w:r>
      </w:hyperlink>
    </w:p>
    <w:p w:rsidR="00105601" w:rsidRDefault="00105601" w:rsidP="00105601">
      <w:pPr>
        <w:widowControl w:val="0"/>
        <w:autoSpaceDE w:val="0"/>
        <w:autoSpaceDN w:val="0"/>
        <w:adjustRightInd w:val="0"/>
        <w:spacing w:after="0" w:line="480" w:lineRule="auto"/>
        <w:ind w:firstLine="709"/>
        <w:jc w:val="both"/>
        <w:outlineLvl w:val="0"/>
        <w:rPr>
          <w:b/>
          <w:bCs/>
          <w:sz w:val="28"/>
          <w:szCs w:val="28"/>
        </w:rPr>
      </w:pPr>
    </w:p>
    <w:p w:rsidR="002D79EF" w:rsidRDefault="002D79EF" w:rsidP="002D79EF">
      <w:pPr>
        <w:jc w:val="both"/>
      </w:pPr>
    </w:p>
    <w:sectPr w:rsidR="002D79EF" w:rsidSect="006A08C7">
      <w:footerReference w:type="default" r:id="rId3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47D" w:rsidRDefault="00FD747D" w:rsidP="002D79EF">
      <w:pPr>
        <w:spacing w:after="0" w:line="240" w:lineRule="auto"/>
      </w:pPr>
      <w:r>
        <w:separator/>
      </w:r>
    </w:p>
  </w:endnote>
  <w:endnote w:type="continuationSeparator" w:id="0">
    <w:p w:rsidR="00FD747D" w:rsidRDefault="00FD747D" w:rsidP="002D7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954"/>
      <w:docPartObj>
        <w:docPartGallery w:val="Page Numbers (Bottom of Page)"/>
        <w:docPartUnique/>
      </w:docPartObj>
    </w:sdtPr>
    <w:sdtContent>
      <w:p w:rsidR="002D79EF" w:rsidRDefault="002D79EF">
        <w:pPr>
          <w:pStyle w:val="aa"/>
          <w:jc w:val="right"/>
        </w:pPr>
        <w:fldSimple w:instr=" PAGE   \* MERGEFORMAT ">
          <w:r w:rsidR="00CF2B43">
            <w:rPr>
              <w:noProof/>
            </w:rPr>
            <w:t>5</w:t>
          </w:r>
        </w:fldSimple>
      </w:p>
    </w:sdtContent>
  </w:sdt>
  <w:p w:rsidR="002D79EF" w:rsidRDefault="002D79E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47D" w:rsidRDefault="00FD747D" w:rsidP="002D79EF">
      <w:pPr>
        <w:spacing w:after="0" w:line="240" w:lineRule="auto"/>
      </w:pPr>
      <w:r>
        <w:separator/>
      </w:r>
    </w:p>
  </w:footnote>
  <w:footnote w:type="continuationSeparator" w:id="0">
    <w:p w:rsidR="00FD747D" w:rsidRDefault="00FD747D" w:rsidP="002D79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79EF"/>
    <w:rsid w:val="00105601"/>
    <w:rsid w:val="00232BAE"/>
    <w:rsid w:val="00241B5F"/>
    <w:rsid w:val="00255CC5"/>
    <w:rsid w:val="00267955"/>
    <w:rsid w:val="002814A8"/>
    <w:rsid w:val="002D79EF"/>
    <w:rsid w:val="003A632C"/>
    <w:rsid w:val="003E0027"/>
    <w:rsid w:val="004820E7"/>
    <w:rsid w:val="005612C2"/>
    <w:rsid w:val="005C3FE1"/>
    <w:rsid w:val="00622F1A"/>
    <w:rsid w:val="006A08C7"/>
    <w:rsid w:val="007655AD"/>
    <w:rsid w:val="007C1E37"/>
    <w:rsid w:val="007C3ED7"/>
    <w:rsid w:val="008154E1"/>
    <w:rsid w:val="0083560E"/>
    <w:rsid w:val="008E04A0"/>
    <w:rsid w:val="0094644D"/>
    <w:rsid w:val="009675C3"/>
    <w:rsid w:val="009D3B2F"/>
    <w:rsid w:val="00A43240"/>
    <w:rsid w:val="00A6465C"/>
    <w:rsid w:val="00AF61CD"/>
    <w:rsid w:val="00BA2C9E"/>
    <w:rsid w:val="00C000FC"/>
    <w:rsid w:val="00C35B4D"/>
    <w:rsid w:val="00CF2B43"/>
    <w:rsid w:val="00DA291A"/>
    <w:rsid w:val="00DE6969"/>
    <w:rsid w:val="00DF0E55"/>
    <w:rsid w:val="00DF5790"/>
    <w:rsid w:val="00E56B46"/>
    <w:rsid w:val="00E7693D"/>
    <w:rsid w:val="00EA017E"/>
    <w:rsid w:val="00F83F96"/>
    <w:rsid w:val="00FA2314"/>
    <w:rsid w:val="00FC6B9B"/>
    <w:rsid w:val="00FD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95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4644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64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644D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644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44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44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4644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4644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4644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4644D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4644D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267955"/>
    <w:rPr>
      <w:b/>
      <w:bCs/>
    </w:rPr>
  </w:style>
  <w:style w:type="paragraph" w:styleId="a5">
    <w:name w:val="No Spacing"/>
    <w:uiPriority w:val="1"/>
    <w:qFormat/>
    <w:rsid w:val="00267955"/>
    <w:rPr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2D79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D79EF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2D7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D79EF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2D7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79EF"/>
    <w:rPr>
      <w:sz w:val="22"/>
      <w:szCs w:val="22"/>
      <w:lang w:eastAsia="en-US"/>
    </w:rPr>
  </w:style>
  <w:style w:type="paragraph" w:customStyle="1" w:styleId="alignright">
    <w:name w:val="align_right"/>
    <w:basedOn w:val="a"/>
    <w:rsid w:val="008154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ignleft">
    <w:name w:val="align_left"/>
    <w:basedOn w:val="a"/>
    <w:rsid w:val="008154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FC6B9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7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18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9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0327">
          <w:marLeft w:val="0"/>
          <w:marRight w:val="0"/>
          <w:marTop w:val="120"/>
          <w:marBottom w:val="4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50209">
          <w:marLeft w:val="0"/>
          <w:marRight w:val="0"/>
          <w:marTop w:val="233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47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10378/c8ebcedc9ddce9d959d6c520c3b0d602f71e8e12/" TargetMode="External"/><Relationship Id="rId13" Type="http://schemas.openxmlformats.org/officeDocument/2006/relationships/hyperlink" Target="http://www.consultant.ru/document/cons_doc_LAW_410378/eb9180fc785448d58fe76ef323fb67d1832b9363/" TargetMode="External"/><Relationship Id="rId18" Type="http://schemas.openxmlformats.org/officeDocument/2006/relationships/hyperlink" Target="http://www.consultant.ru/document/cons_doc_LAW_420524/" TargetMode="External"/><Relationship Id="rId26" Type="http://schemas.openxmlformats.org/officeDocument/2006/relationships/hyperlink" Target="http://www.consultant.ru/document/cons_doc_LAW_420497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document/cons_doc_LAW_410378/c5c16c86f95c5db63601047b1c0a5942bd77c824/" TargetMode="External"/><Relationship Id="rId34" Type="http://schemas.openxmlformats.org/officeDocument/2006/relationships/hyperlink" Target="http://www.consultant.ru/document/cons_doc_LAW_421906/3d0cac60971a511280cbba229d9b6329c07731f7/" TargetMode="External"/><Relationship Id="rId7" Type="http://schemas.openxmlformats.org/officeDocument/2006/relationships/hyperlink" Target="http://www.consultant.ru/document/cons_doc_LAW_410378/c8ebcedc9ddce9d959d6c520c3b0d602f71e8e12/" TargetMode="External"/><Relationship Id="rId12" Type="http://schemas.openxmlformats.org/officeDocument/2006/relationships/hyperlink" Target="http://www.consultant.ru/document/cons_doc_LAW_400421/" TargetMode="External"/><Relationship Id="rId17" Type="http://schemas.openxmlformats.org/officeDocument/2006/relationships/hyperlink" Target="http://www.consultant.ru/document/cons_doc_LAW_410372/eab507d8eb4d9c9196ed3567f9f3ee98dd0c2f76/" TargetMode="External"/><Relationship Id="rId25" Type="http://schemas.openxmlformats.org/officeDocument/2006/relationships/hyperlink" Target="http://www.consultant.ru/document/cons_doc_LAW_420524/" TargetMode="External"/><Relationship Id="rId33" Type="http://schemas.openxmlformats.org/officeDocument/2006/relationships/hyperlink" Target="http://www.consultant.ru/document/cons_doc_LAW_421906/3d0cac60971a511280cbba229d9b6329c07731f7/" TargetMode="External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420497/" TargetMode="External"/><Relationship Id="rId20" Type="http://schemas.openxmlformats.org/officeDocument/2006/relationships/hyperlink" Target="http://www.consultant.ru/document/cons_doc_LAW_410378/c5c16c86f95c5db63601047b1c0a5942bd77c824/" TargetMode="External"/><Relationship Id="rId29" Type="http://schemas.openxmlformats.org/officeDocument/2006/relationships/hyperlink" Target="http://www.consultant.ru/document/cons_doc_LAW_420497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10378/" TargetMode="External"/><Relationship Id="rId11" Type="http://schemas.openxmlformats.org/officeDocument/2006/relationships/hyperlink" Target="http://www.consultant.ru/document/cons_doc_LAW_415531/" TargetMode="External"/><Relationship Id="rId24" Type="http://schemas.openxmlformats.org/officeDocument/2006/relationships/hyperlink" Target="http://www.consultant.ru/document/cons_doc_LAW_410372/eab507d8eb4d9c9196ed3567f9f3ee98dd0c2f76/" TargetMode="External"/><Relationship Id="rId32" Type="http://schemas.openxmlformats.org/officeDocument/2006/relationships/hyperlink" Target="http://www.consultant.ru/document/cons_doc_LAW_421906/3d0cac60971a511280cbba229d9b6329c07731f7/" TargetMode="External"/><Relationship Id="rId37" Type="http://schemas.openxmlformats.org/officeDocument/2006/relationships/hyperlink" Target="http://www.consultant.ru/document/cons_doc_LAW_421906/" TargetMode="Externa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consultant.ru/document/cons_doc_LAW_420524/" TargetMode="External"/><Relationship Id="rId23" Type="http://schemas.openxmlformats.org/officeDocument/2006/relationships/hyperlink" Target="http://www.consultant.ru/document/cons_doc_LAW_410378/c5c16c86f95c5db63601047b1c0a5942bd77c824/" TargetMode="External"/><Relationship Id="rId28" Type="http://schemas.openxmlformats.org/officeDocument/2006/relationships/hyperlink" Target="http://www.consultant.ru/document/cons_doc_LAW_420524/" TargetMode="External"/><Relationship Id="rId36" Type="http://schemas.openxmlformats.org/officeDocument/2006/relationships/hyperlink" Target="http://www.consultant.ru/document/cons_doc_LAW_421906/b004fed0b70d0f223e4a81f8ad6cd92af90a7e3b/" TargetMode="External"/><Relationship Id="rId10" Type="http://schemas.openxmlformats.org/officeDocument/2006/relationships/hyperlink" Target="http://www.consultant.ru/document/cons_doc_LAW_410378/8f5e360a53d29554be20fe46a6b79f85e5bbbd0d/" TargetMode="External"/><Relationship Id="rId19" Type="http://schemas.openxmlformats.org/officeDocument/2006/relationships/hyperlink" Target="http://www.consultant.ru/document/cons_doc_LAW_420497/" TargetMode="External"/><Relationship Id="rId31" Type="http://schemas.openxmlformats.org/officeDocument/2006/relationships/hyperlink" Target="http://www.consultant.ru/document/cons_doc_LAW_421906/b004fed0b70d0f223e4a81f8ad6cd92af90a7e3b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410378/c8ebcedc9ddce9d959d6c520c3b0d602f71e8e12/" TargetMode="External"/><Relationship Id="rId14" Type="http://schemas.openxmlformats.org/officeDocument/2006/relationships/hyperlink" Target="http://www.consultant.ru/document/cons_doc_LAW_410372/eab507d8eb4d9c9196ed3567f9f3ee98dd0c2f76/" TargetMode="External"/><Relationship Id="rId22" Type="http://schemas.openxmlformats.org/officeDocument/2006/relationships/hyperlink" Target="consultantplus://offline/ref=04B3D7A5F15D47DCA4D5CD56D65C74E4BD064FB55314A478A339345D72D41E5F88FE35B9165760146C1020B1A4E51B2971CEE2BD3B3220J3O7J" TargetMode="External"/><Relationship Id="rId27" Type="http://schemas.openxmlformats.org/officeDocument/2006/relationships/hyperlink" Target="http://www.consultant.ru/document/cons_doc_LAW_410372/eab507d8eb4d9c9196ed3567f9f3ee98dd0c2f76/" TargetMode="External"/><Relationship Id="rId30" Type="http://schemas.openxmlformats.org/officeDocument/2006/relationships/hyperlink" Target="http://www.consultant.ru/document/cons_doc_LAW_421906/b004fed0b70d0f223e4a81f8ad6cd92af90a7e3b/" TargetMode="External"/><Relationship Id="rId35" Type="http://schemas.openxmlformats.org/officeDocument/2006/relationships/hyperlink" Target="http://www.consultant.ru/document/cons_doc_LAW_421906/3d0cac60971a511280cbba229d9b6329c07731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6053</Words>
  <Characters>34506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dcterms:created xsi:type="dcterms:W3CDTF">2022-07-16T07:08:00Z</dcterms:created>
  <dcterms:modified xsi:type="dcterms:W3CDTF">2022-07-16T08:12:00Z</dcterms:modified>
</cp:coreProperties>
</file>