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7BA" w:rsidRDefault="00CC47BA">
      <w:pPr>
        <w:pStyle w:val="ConsPlusTitle"/>
        <w:jc w:val="center"/>
      </w:pPr>
      <w:r>
        <w:t>СЕМНАДЦАТЫЙ АРБИТРАЖНЫЙ АПЕЛЛЯЦИОННЫЙ СУД</w:t>
      </w:r>
    </w:p>
    <w:p w:rsidR="00CC47BA" w:rsidRDefault="00CC47BA">
      <w:pPr>
        <w:pStyle w:val="ConsPlusTitle"/>
        <w:jc w:val="center"/>
      </w:pPr>
    </w:p>
    <w:p w:rsidR="00CC47BA" w:rsidRDefault="00CC47BA">
      <w:pPr>
        <w:pStyle w:val="ConsPlusTitle"/>
        <w:jc w:val="center"/>
      </w:pPr>
      <w:r>
        <w:t>ПОСТАНОВЛЕНИЕ</w:t>
      </w:r>
    </w:p>
    <w:p w:rsidR="00CC47BA" w:rsidRDefault="00CC47BA">
      <w:pPr>
        <w:pStyle w:val="ConsPlusTitle"/>
        <w:jc w:val="center"/>
      </w:pPr>
      <w:r>
        <w:t>от 25 марта 2025 г. N 17АП-12160/2024-АК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right"/>
      </w:pPr>
      <w:r>
        <w:t>Дело N А60-27845/2024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ind w:firstLine="540"/>
        <w:jc w:val="both"/>
      </w:pPr>
      <w:r>
        <w:t>Резолютивная часть постановления объявлена 17 марта 2025 года.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Постановление в полном объеме изготовлено 25 марта 2025 года.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Семнадцатый арбитражный апелляционный суд в составе: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председательствующего Васильевой Е.В.,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судей Муравьевой Е.Ю., Шаламовой Ю.В.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при ведении протокола судебного заседания секретарем </w:t>
      </w:r>
      <w:proofErr w:type="spellStart"/>
      <w:r>
        <w:t>Голдобиной</w:t>
      </w:r>
      <w:proofErr w:type="spellEnd"/>
      <w:r>
        <w:t xml:space="preserve"> Е.Ю.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при участии представителя Инспекции Федеральной налоговой службы по Ленинскому району </w:t>
      </w:r>
      <w:proofErr w:type="gramStart"/>
      <w:r>
        <w:t>г</w:t>
      </w:r>
      <w:proofErr w:type="gramEnd"/>
      <w:r>
        <w:t>. Екатеринбурга Корниловой И.А. (служебное удостоверение, доверенность от 19.12.2024, диплом),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иные лица, участвующие в деле, в судебное заседание не явились, о месте и времени рассмотрения дела извещены надлежащим образом в порядке </w:t>
      </w:r>
      <w:hyperlink r:id="rId6">
        <w:r>
          <w:rPr>
            <w:color w:val="0000FF"/>
          </w:rPr>
          <w:t>статей 121</w:t>
        </w:r>
      </w:hyperlink>
      <w:r>
        <w:t xml:space="preserve">, </w:t>
      </w:r>
      <w:hyperlink r:id="rId7">
        <w:r>
          <w:rPr>
            <w:color w:val="0000FF"/>
          </w:rPr>
          <w:t>123</w:t>
        </w:r>
      </w:hyperlink>
      <w:r>
        <w:t xml:space="preserve"> Арбитражного процессуального кодекса Российской Федерации, в том числе публично, путем размещения информации о времени и месте судебного заседания на интернет-сайте</w:t>
      </w:r>
      <w:proofErr w:type="gramStart"/>
      <w:r>
        <w:t xml:space="preserve"> С</w:t>
      </w:r>
      <w:proofErr w:type="gramEnd"/>
      <w:r>
        <w:t>емнадцатого арбитражного апелляционного суда,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рассмотрел в судебном заседании апелляционную жалобу заявителя, индивидуального предпринимателя </w:t>
      </w:r>
      <w:proofErr w:type="spellStart"/>
      <w:r>
        <w:t>Филюты</w:t>
      </w:r>
      <w:proofErr w:type="spellEnd"/>
      <w:r>
        <w:t xml:space="preserve"> Константина Владимировича,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на </w:t>
      </w:r>
      <w:hyperlink r:id="rId8">
        <w:r>
          <w:rPr>
            <w:color w:val="0000FF"/>
          </w:rPr>
          <w:t>решение</w:t>
        </w:r>
      </w:hyperlink>
      <w:r>
        <w:t xml:space="preserve"> Арбитражного суда Свердловской области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от 23 сентября 2024 года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 делу N А60-27845/2024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по заявлению индивидуального предпринимателя </w:t>
      </w:r>
      <w:proofErr w:type="spellStart"/>
      <w:r>
        <w:t>Филюты</w:t>
      </w:r>
      <w:proofErr w:type="spellEnd"/>
      <w:r>
        <w:t xml:space="preserve"> Константина Владимировича (ИНН 667117566290, ОГРН 319665800238753)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к Инспекции Федеральной налоговой службы по Ленинскому району </w:t>
      </w:r>
      <w:proofErr w:type="gramStart"/>
      <w:r>
        <w:t>г</w:t>
      </w:r>
      <w:proofErr w:type="gramEnd"/>
      <w:r>
        <w:t>. Екатеринбурга (ИНН 6661009067, ОГРН 1046604027414)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>о признании незаконным отказа в возврате денежной суммы, формирующей положительное сальдо на едином налоговом счете,</w:t>
      </w:r>
      <w:proofErr w:type="gramEnd"/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center"/>
      </w:pPr>
      <w:r>
        <w:t>установил: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ind w:firstLine="540"/>
        <w:jc w:val="both"/>
      </w:pPr>
      <w:proofErr w:type="gramStart"/>
      <w:r>
        <w:t xml:space="preserve">Индивидуальный предприниматель </w:t>
      </w:r>
      <w:proofErr w:type="spellStart"/>
      <w:r>
        <w:t>Филюта</w:t>
      </w:r>
      <w:proofErr w:type="spellEnd"/>
      <w:r>
        <w:t xml:space="preserve"> Константин Владимирович (далее - заявитель, предприниматель) обратился в Арбитражный суд Свердловской области к Инспекции Федеральной налоговой службы по Ленинскому району г. Екатеринбурга (далее - инспекция, налоговый орган) о признании незаконными действий инспекции, выразившихся в отказе исполнить распоряжение заявителя о возврате 200 000 рублей, формирующих положительное сальдо на едином налоговом счете (сообщение от 08.05.2024 N 7992).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Решением</w:t>
        </w:r>
      </w:hyperlink>
      <w:r>
        <w:t xml:space="preserve"> Арбитражного суда Свердловской области от 23 сентября 2024 года в удовлетворении заявления отказано.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Не согласившись с принятым решением, заявитель обратился с апелляционной жалобой, в которой просит решение суда отменить, принять по делу новый судебный акт.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обоснование жалобы приведены доводы о том, что заявитель в 2022 году оплатил налогов и обязательных платежей на сумму 51 691,18 рублей, в 2023 году - на сумму в размере 145 150,16 рублей, в </w:t>
      </w:r>
      <w:proofErr w:type="gramStart"/>
      <w:r>
        <w:t>связи</w:t>
      </w:r>
      <w:proofErr w:type="gramEnd"/>
      <w:r>
        <w:t xml:space="preserve"> с чем 200 000 рублей для 2024 года, в котором только размер фиксированных страховых взносов обязательных к уплате вне зависимости от финансовых показателей, составил 49 500 рублей, и которые для уменьшения суммы стоимости патента нужно сначала внести, представляются вполне логичным, обоснованным и сопоставимым размером по отношению к фактическим налоговым обязательствам. Все дела, где судами сумма, формирующая положительное сальдо единого налогового счета (ЕНС), признавалась преднамеренно произведенной вне связи с осуществлением плательщиками реальной деятельности, рассматривались с участием </w:t>
      </w:r>
      <w:proofErr w:type="spellStart"/>
      <w:r>
        <w:t>Росфинмониторинга</w:t>
      </w:r>
      <w:proofErr w:type="spellEnd"/>
      <w:r>
        <w:t xml:space="preserve"> и, соответственно, с учетом либо на основании его позиции. К участию в настоящем деле </w:t>
      </w:r>
      <w:proofErr w:type="spellStart"/>
      <w:r>
        <w:t>Росфинмониторинг</w:t>
      </w:r>
      <w:proofErr w:type="spellEnd"/>
      <w:r>
        <w:t xml:space="preserve"> не привлекался.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Налоговым органом представлен отзыв на апелляционную жалобу, в котором он просит решение суда оставить без изменения, апелляционную жалобу - без удовлетворения.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В заседании суда апелляционной инстанции 12.02.2025 представитель инспекции заявил ходатайство о приобщении к материалам дополнения к отзыву на апелляционную жалобу и об отложении судебного заседания в связи с тем, что инспекция через УФНС России по Свердловской области направила запрос в Межрегиональное управление Федеральной службы по финансовому мониторингу по Уральскому федеральному округу (МРУ </w:t>
      </w:r>
      <w:proofErr w:type="spellStart"/>
      <w:r>
        <w:t>Росфинмониторинг</w:t>
      </w:r>
      <w:proofErr w:type="spellEnd"/>
      <w:r>
        <w:t xml:space="preserve"> по УФО) от 07.02.2025 N 15-04/01016</w:t>
      </w:r>
      <w:proofErr w:type="gramEnd"/>
      <w:r>
        <w:t xml:space="preserve"> об оказании содействия в сборе и изучении фактических обстоятельств, а также информации о том, имело ли место применение положений Федерального </w:t>
      </w:r>
      <w:hyperlink r:id="rId10">
        <w:r>
          <w:rPr>
            <w:color w:val="0000FF"/>
          </w:rPr>
          <w:t>закона</w:t>
        </w:r>
      </w:hyperlink>
      <w:r>
        <w:t xml:space="preserve"> от 07.08.2001 N 115-ФЗ "О противодействии легализации (отмыванию) доходов, полученных преступным путем, и финансированию терроризма", ответа на который не получено.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Для проверки довод налогового органа о совершении заявителем сомнительных финансовых операций (необходимости получения заключения </w:t>
      </w:r>
      <w:proofErr w:type="gramStart"/>
      <w:r>
        <w:t>МРУ</w:t>
      </w:r>
      <w:proofErr w:type="gramEnd"/>
      <w:r>
        <w:t xml:space="preserve"> </w:t>
      </w:r>
      <w:proofErr w:type="spellStart"/>
      <w:r>
        <w:t>Росфинмониторинг</w:t>
      </w:r>
      <w:proofErr w:type="spellEnd"/>
      <w:r>
        <w:t xml:space="preserve"> по УФО по рассматриваемому вопросу) апелляционный суд определением от 12.02.2025 отложил судебное разбирательство по настоящему делу до 17.03.2025.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От инспекции поступило ходатайство о приобщении к материалам дела дополнительных доказательств: ответа МРУ </w:t>
      </w:r>
      <w:proofErr w:type="spellStart"/>
      <w:r>
        <w:t>Росфинмониторинг</w:t>
      </w:r>
      <w:proofErr w:type="spellEnd"/>
      <w:r>
        <w:t xml:space="preserve"> по УФО от 20.03.2025 N 21-31-03/1563 на запрос инспекции от 07.02.2025 N 15-04/01016, выписки по расчетному счету </w:t>
      </w:r>
      <w:proofErr w:type="spellStart"/>
      <w:r>
        <w:t>Филюта</w:t>
      </w:r>
      <w:proofErr w:type="spellEnd"/>
      <w:r>
        <w:t xml:space="preserve"> К.В. за 2023 год, решения от 26.02.2025 N 1668 по проверке в отношении ИП </w:t>
      </w:r>
      <w:proofErr w:type="spellStart"/>
      <w:r>
        <w:t>Филюта</w:t>
      </w:r>
      <w:proofErr w:type="spellEnd"/>
      <w:r>
        <w:t xml:space="preserve"> К.В.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>
        <w:t>От заявителя поступили возражения на отзыв на апелляционную жалобу, а также ходатайство о приобщении к материалам дела дополнительных доказательств.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Указанные доказательства приобщены к материалам дела на основании </w:t>
      </w:r>
      <w:hyperlink r:id="rId11">
        <w:r>
          <w:rPr>
            <w:color w:val="0000FF"/>
          </w:rPr>
          <w:t>статьи 268</w:t>
        </w:r>
      </w:hyperlink>
      <w:r>
        <w:t xml:space="preserve"> АПК РФ.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В судебном заседании представитель инспекции доводы отзыва поддержал.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Заявитель, надлежащим образом уведомленный о времени и месте судебного разбирательства, в суд апелляционной инстанции своих представителей не направил, что в порядке </w:t>
      </w:r>
      <w:hyperlink r:id="rId12">
        <w:r>
          <w:rPr>
            <w:color w:val="0000FF"/>
          </w:rPr>
          <w:t>части 3 статьи 156</w:t>
        </w:r>
      </w:hyperlink>
      <w:r>
        <w:t xml:space="preserve"> АПК РФ не является препятствием для рассмотрения дела.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Законность и обоснованность решения проверены арбитражным судом апелляционной инстанции в соответствии со </w:t>
      </w:r>
      <w:hyperlink r:id="rId13">
        <w:r>
          <w:rPr>
            <w:color w:val="0000FF"/>
          </w:rPr>
          <w:t>статьями 266</w:t>
        </w:r>
      </w:hyperlink>
      <w:r>
        <w:t xml:space="preserve">, </w:t>
      </w:r>
      <w:hyperlink r:id="rId14">
        <w:r>
          <w:rPr>
            <w:color w:val="0000FF"/>
          </w:rPr>
          <w:t>268</w:t>
        </w:r>
      </w:hyperlink>
      <w:r>
        <w:t xml:space="preserve"> АПК РФ.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Как установлено судом первой инстанции и не оспаривается налоговым органом, на </w:t>
      </w:r>
      <w:r>
        <w:lastRenderedPageBreak/>
        <w:t>основании платежного поручения от 25.04.2024 N 14, со счета предпринимателя, открытого в ООО "Банк Точка", в бюджет произведено перечисление денежных сре</w:t>
      </w:r>
      <w:proofErr w:type="gramStart"/>
      <w:r>
        <w:t>дств в с</w:t>
      </w:r>
      <w:proofErr w:type="gramEnd"/>
      <w:r>
        <w:t>умме 216 000 руб. с назначением платежа "Пополнение ЕНС".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08.05.2024 предприниматель обратился в инспекцию с заявлением о распоряжении (путем возврата) суммой денежных средств, формирующих положительное сальдо ЕНС, на сумму 200 000 руб.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 результатам рассмотрения заявления налоговым органом предпринимателю направлено сообщение от 08.05.2024 N 7992 об отказе в возврате 200 000 руб. с причиной отказа: "заявленная к возврату сумма находится на проверке. После завершения мероприятий, Вам необходимо повторно подать заявление о возврате".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Заявитель вновь обратился с аналогичными заявлениями в налоговый орган 15.05.2024, 19.06.2024.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 результатам рассмотрения заявлений предпринимателю даны ответы с аналогичной причиной отказа: "заявленная к возврату сумма находится на проверке".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Не согласившись с указанными действиями налогового органа, ИП </w:t>
      </w:r>
      <w:proofErr w:type="spellStart"/>
      <w:r>
        <w:t>Филюта</w:t>
      </w:r>
      <w:proofErr w:type="spellEnd"/>
      <w:r>
        <w:t xml:space="preserve"> К.В. обратился с жалобой в вышестоящий налоговый орган.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Решением УФНС России по Свердловской области от 01.08.2024 N 13-06/22083@ жалоба ИП </w:t>
      </w:r>
      <w:proofErr w:type="spellStart"/>
      <w:r>
        <w:t>Филюты</w:t>
      </w:r>
      <w:proofErr w:type="spellEnd"/>
      <w:r>
        <w:t xml:space="preserve"> К.В. оставлена без удовлетворения.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Полагая незаконными действия инспекции, а также считая недействительным сообщение инспекции от 08.05.2024 N 7992 об отказе в возврате денежных средств, заявитель обратился в арбитражный суд.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>Отказывая в удовлетворении заявленных требований, суд первой инстанции исходил из того, что при перечислении спорной суммы денежных средств предприниматель преследовал иную цель, нежели уплата налогов; денежные средства, явившиеся источником формирования положительного сальдо ЕНС, поступили на расчетные счета предпринимателя вне связи с осуществлением им реальной деятельности, по не имевшим место хозяйственным операциям.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Изучив материалы дела, рассмотрев доводы апелляционной жалобы, отзыва на нее, исследовав имеющиеся в материалах дела доказательства в соответствии со </w:t>
      </w:r>
      <w:hyperlink r:id="rId15">
        <w:r>
          <w:rPr>
            <w:color w:val="0000FF"/>
          </w:rPr>
          <w:t>статьей 71</w:t>
        </w:r>
      </w:hyperlink>
      <w:r>
        <w:t xml:space="preserve"> АПК РФ, арбитражный апелляционный суд приходит к следующим выводам.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6">
        <w:r>
          <w:rPr>
            <w:color w:val="0000FF"/>
          </w:rPr>
          <w:t>подпунктом 5 пункта 1 статьи 21</w:t>
        </w:r>
      </w:hyperlink>
      <w:r>
        <w:t xml:space="preserve"> Налогового кодекса Российской Федерации (далее - НК РФ, Кодекс) налогоплательщики имеют право на своевременный возврат денежных сре</w:t>
      </w:r>
      <w:proofErr w:type="gramStart"/>
      <w:r>
        <w:t>дств в р</w:t>
      </w:r>
      <w:proofErr w:type="gramEnd"/>
      <w:r>
        <w:t>азмере, не превышающем положительное сальдо ЕНС налогоплательщика, в порядке, предусмотренном настоящим Кодексом.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Согласно </w:t>
      </w:r>
      <w:hyperlink r:id="rId17">
        <w:r>
          <w:rPr>
            <w:color w:val="0000FF"/>
          </w:rPr>
          <w:t>подпункту 7 пункта 1 статьи 32</w:t>
        </w:r>
      </w:hyperlink>
      <w:r>
        <w:t xml:space="preserve"> Кодекса налоговые органы обязаны осуществлять возврат налогоплательщику, налоговому агенту денежных средств в размере, не превышающем положительное сальдо ЕНС такого лица, или осуществлять зачет указанных денежных средств в счет исполнения обязанности другого лица по уплате налогов, сборов, страховых взносов, пеней, штрафов и (или) процентов, в счет исполнения предстоящей обязанности по уплате конкретного налога либо</w:t>
      </w:r>
      <w:proofErr w:type="gramEnd"/>
      <w:r>
        <w:t xml:space="preserve"> в счет исполнения решений налоговых органов, указанных в </w:t>
      </w:r>
      <w:hyperlink r:id="rId18">
        <w:r>
          <w:rPr>
            <w:color w:val="0000FF"/>
          </w:rPr>
          <w:t>подпунктах 10</w:t>
        </w:r>
      </w:hyperlink>
      <w:r>
        <w:t xml:space="preserve"> и </w:t>
      </w:r>
      <w:hyperlink r:id="rId19">
        <w:r>
          <w:rPr>
            <w:color w:val="0000FF"/>
          </w:rPr>
          <w:t>11 пункта 5</w:t>
        </w:r>
      </w:hyperlink>
      <w:r>
        <w:t xml:space="preserve"> и </w:t>
      </w:r>
      <w:hyperlink r:id="rId20">
        <w:r>
          <w:rPr>
            <w:color w:val="0000FF"/>
          </w:rPr>
          <w:t>подпункте 3 пункта 7 статьи 11.3</w:t>
        </w:r>
      </w:hyperlink>
      <w:r>
        <w:t xml:space="preserve"> НК РФ, в порядке, предусмотренном настоящим Кодексом.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Как указано в </w:t>
      </w:r>
      <w:hyperlink r:id="rId21">
        <w:r>
          <w:rPr>
            <w:color w:val="0000FF"/>
          </w:rPr>
          <w:t>пункте 1 статьи 11.3</w:t>
        </w:r>
      </w:hyperlink>
      <w:r>
        <w:t xml:space="preserve"> НК РФ, единым налоговым платежом (ЕНП) признаются денежные средства, перечисленные налогоплательщиком, плательщиком страховых взносов, налоговым агентом и (или) иным лицом в бюджетную систему Российской Федерации на счет </w:t>
      </w:r>
      <w:r>
        <w:lastRenderedPageBreak/>
        <w:t>Федерального казначейства, предназначенные для исполнения совокупной обязанности налогоплательщика, плательщика страховых взносов, налогового агента, а также денежные средства, взысканные с этих лиц в соответствии с настоящим Кодексом.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>
        <w:t>Согласно пункту 2 статьи 11.3, единым налоговым счетом (ЕНС) признается форма учета налоговыми органами: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1) денежного выражения совокупной обязанности;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2) денежных средств, перечисленных в качестве единого налогового платежа и (или) признаваемых в качестве единого налогового платежа.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В соответствии с пунктом 3 статьи 11.3 сальдо ЕНС представляет собой разницу между общей суммой денежных средств, перечисленных и (или) признаваемых в качестве ЕНП, и денежным выражением совокупной обязанности.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Положительное сальдо формируется, если общая сумма денежных средств, перечисленных и (или) признаваемых в качестве ЕНП, больше денежного выражения совокупной обязанности. При формировании положительного сальдо единого налогового счета не учитываются суммы денежных средств, зачтенные в счет исполнения соответствующей обязанности налогоплательщика, плательщика сбора, плательщика страховых взносов и (или) налогового агента.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Отрицательное сальдо единого налогового счета формируется, если общая сумма денежных средств, перечисленных и (или) признаваемых в качестве ЕНП, меньше денежного выражения совокупной обязанности.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22">
        <w:r>
          <w:rPr>
            <w:color w:val="0000FF"/>
          </w:rPr>
          <w:t>статьей 79</w:t>
        </w:r>
      </w:hyperlink>
      <w:r>
        <w:t xml:space="preserve"> НК РФ налогоплательщик, плательщик страховых взносов и (или) налоговый агент вправе распорядиться суммой денежных средств, формирующих положительное сальдо его ЕНС, путем возврата этой суммы на открытый ему счет в банке в порядке, предусмотренном настоящей </w:t>
      </w:r>
      <w:hyperlink r:id="rId23">
        <w:r>
          <w:rPr>
            <w:color w:val="0000FF"/>
          </w:rPr>
          <w:t>статьей</w:t>
        </w:r>
      </w:hyperlink>
      <w:r>
        <w:t>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Распоряжение денежными средствами в размере сумм, формирующих положительное сальдо ЕНС, осуществляется на основании заявления о распоряжении путем возврата, представленного в налоговый орган по месту учета налогоплательщика (плательщика страховых взносов, налогового агента) </w:t>
      </w:r>
      <w:hyperlink r:id="rId24">
        <w:r>
          <w:rPr>
            <w:color w:val="0000FF"/>
          </w:rPr>
          <w:t>(пункт 1)</w:t>
        </w:r>
      </w:hyperlink>
      <w:r>
        <w:t>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случае отсутствия положительного сальдо на едином налоговом счете налогоплательщику, плательщику сбора, плательщику страховых взносов и (или) налоговому агенту направляется сообщение об отказе в возврате </w:t>
      </w:r>
      <w:hyperlink r:id="rId25">
        <w:r>
          <w:rPr>
            <w:color w:val="0000FF"/>
          </w:rPr>
          <w:t>(пункт 2)</w:t>
        </w:r>
      </w:hyperlink>
      <w:r>
        <w:t>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Поручение о возврате суммы денежных средств, формирующих положительное сальдо ЕНС, направляется налоговым органом в территориальный орган Федерального казначейства не позднее следующего дня после наступления одного из событий, предусмотренных </w:t>
      </w:r>
      <w:hyperlink r:id="rId26">
        <w:r>
          <w:rPr>
            <w:color w:val="0000FF"/>
          </w:rPr>
          <w:t>пунктом 3 статьи 79</w:t>
        </w:r>
      </w:hyperlink>
      <w:r>
        <w:t>, в том числе после получения заявления о распоряжении путем возврата.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Из приведенных выше обстоятель</w:t>
      </w:r>
      <w:proofErr w:type="gramStart"/>
      <w:r>
        <w:t>ств сл</w:t>
      </w:r>
      <w:proofErr w:type="gramEnd"/>
      <w:r>
        <w:t xml:space="preserve">едует и инспекцией не оспаривается наличие у ИП </w:t>
      </w:r>
      <w:proofErr w:type="spellStart"/>
      <w:r>
        <w:t>Филюта</w:t>
      </w:r>
      <w:proofErr w:type="spellEnd"/>
      <w:r>
        <w:t xml:space="preserve"> К.В. положительного сальдо ЕНС, сформировавшегося в результате перечисления им в апреле 2024 года в качестве ЕНП денежных средств в сумме 216 000 рублей. Следовательно, формальные основания для возврата предпринимателю оставшейся суммы у налогового органа имелись.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Однако в соответствии с </w:t>
      </w:r>
      <w:hyperlink r:id="rId27">
        <w:r>
          <w:rPr>
            <w:color w:val="0000FF"/>
          </w:rPr>
          <w:t>пунктом 1 статьи 10</w:t>
        </w:r>
      </w:hyperlink>
      <w:r>
        <w:t xml:space="preserve"> Гражданского кодекса Российской Федерации (ГК РФ)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lastRenderedPageBreak/>
        <w:t>В случае несоблюдения требований, предусмотренных пунктом 1 настоящей статьи, суд,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частично, а также применяет иные меры, предусмотренные законом (</w:t>
      </w:r>
      <w:hyperlink r:id="rId28">
        <w:r>
          <w:rPr>
            <w:color w:val="0000FF"/>
          </w:rPr>
          <w:t>пункт 2 статьи 10</w:t>
        </w:r>
      </w:hyperlink>
      <w:r>
        <w:t xml:space="preserve"> ГК РФ).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Как указано в </w:t>
      </w:r>
      <w:hyperlink r:id="rId29">
        <w:r>
          <w:rPr>
            <w:color w:val="0000FF"/>
          </w:rPr>
          <w:t>пункте 2.5</w:t>
        </w:r>
      </w:hyperlink>
      <w:r>
        <w:t xml:space="preserve"> мотивировочной части определения Конституционного Суда РФ от 27.12.2005 N 503-О, излишняя уплата налога, как правило, имеет место, когда налогоплательщик, исчисляя подлежащую уплате в бюджет сумму налога самостоятельно, т.е. без участия налогового органа, по какой-либо причине, в том числе вследствие незнания налогового закона или добросовестного заблуждения, допускает ошибку в расчетах.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>
        <w:t>В рассматриваемом случае судом на основании доказательств, представленных инспекцией, установлено, а заявителем не опровергнуто, что спорные перечисления денежных сре</w:t>
      </w:r>
      <w:proofErr w:type="gramStart"/>
      <w:r>
        <w:t>дств пр</w:t>
      </w:r>
      <w:proofErr w:type="gramEnd"/>
      <w:r>
        <w:t>оизводились не с целью исполнения текущих или предстоящих налоговых обязательств, а для легализации доходов, полученных иными организациями.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Так, из материалов дела и общедоступных ресурсов ФНС России следует, что ИП </w:t>
      </w:r>
      <w:proofErr w:type="spellStart"/>
      <w:r>
        <w:t>Филюта</w:t>
      </w:r>
      <w:proofErr w:type="spellEnd"/>
      <w:r>
        <w:t xml:space="preserve"> К.В. состоит на учете в налоговом органе с 27.11.2019. Основной вид экономической деятельности - деятельность автомобильного грузового транспорта. Предприниматель применяет упрощенную систему налогообложения с объектом "доходы, уменьшенные на величину расходов" </w:t>
      </w:r>
      <w:proofErr w:type="gramStart"/>
      <w:r>
        <w:t>с даты постановки</w:t>
      </w:r>
      <w:proofErr w:type="gramEnd"/>
      <w:r>
        <w:t xml:space="preserve"> на учет по настоящее время. </w:t>
      </w:r>
      <w:proofErr w:type="gramStart"/>
      <w:r>
        <w:t xml:space="preserve">Также ИП </w:t>
      </w:r>
      <w:proofErr w:type="spellStart"/>
      <w:r>
        <w:t>Филюта</w:t>
      </w:r>
      <w:proofErr w:type="spellEnd"/>
      <w:r>
        <w:t xml:space="preserve"> К.В. применял патентную системы налогообложения: с 17.04.2023 по 31.12.2023 - по виду деятельности "Оказание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услуг", с 03.05.2024 по 31.12.2024 - по виду деятельности "Услуги по производству монтажных, электромонтажных, санитарно-технических и сварочных</w:t>
      </w:r>
      <w:proofErr w:type="gramEnd"/>
      <w:r>
        <w:t xml:space="preserve"> работ".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Согласно представленной 26.04.2024 декларации по УСН за 2023 год, сумма дохода, полученного при осуществлении предпринимательской деятельности, составляет 99 300 руб.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Инспекцией в 2024 году исчислены суммы налога по патентной системе в размерах 2336 руб. и 4672 руб.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ходе контрольных мероприятий в отношении ИП </w:t>
      </w:r>
      <w:proofErr w:type="spellStart"/>
      <w:r>
        <w:t>Филюта</w:t>
      </w:r>
      <w:proofErr w:type="spellEnd"/>
      <w:r>
        <w:t xml:space="preserve"> К.В. налоговым органом выявлены факты поступления в 2023 году на расчетные счета денежных средств от сделок с "сомнительными" контрагентами.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Согласно выписке об операциях на счетах в банках за период с 04.01.2021 по 29.12.2023, сумма денежных средств, поступивших на расчетный счет ИП </w:t>
      </w:r>
      <w:proofErr w:type="spellStart"/>
      <w:r>
        <w:t>Филюта</w:t>
      </w:r>
      <w:proofErr w:type="spellEnd"/>
      <w:r>
        <w:t xml:space="preserve"> К.В., составила 46 006 895 руб. Покупателями являлись в указанный период: </w:t>
      </w:r>
      <w:proofErr w:type="gramStart"/>
      <w:r>
        <w:t>ООО "</w:t>
      </w:r>
      <w:proofErr w:type="spellStart"/>
      <w:r>
        <w:t>Уралтрансхолод</w:t>
      </w:r>
      <w:proofErr w:type="spellEnd"/>
      <w:r>
        <w:t>", ООО "Фракция", ООО "</w:t>
      </w:r>
      <w:proofErr w:type="spellStart"/>
      <w:r>
        <w:t>Комтранслогистик</w:t>
      </w:r>
      <w:proofErr w:type="spellEnd"/>
      <w:r>
        <w:t>", ООО "</w:t>
      </w:r>
      <w:proofErr w:type="spellStart"/>
      <w:r>
        <w:t>Дорстройгрупп</w:t>
      </w:r>
      <w:proofErr w:type="spellEnd"/>
      <w:r>
        <w:t>", ИП Майер Т.Г., ООО ЧОО ТОФ, ООО "</w:t>
      </w:r>
      <w:proofErr w:type="spellStart"/>
      <w:r>
        <w:t>Энергострой</w:t>
      </w:r>
      <w:proofErr w:type="spellEnd"/>
      <w:r>
        <w:t>", ООО "ЛП УБМ", ООО "</w:t>
      </w:r>
      <w:proofErr w:type="spellStart"/>
      <w:r>
        <w:t>Манэстрой</w:t>
      </w:r>
      <w:proofErr w:type="spellEnd"/>
      <w:r>
        <w:t>", ООО "</w:t>
      </w:r>
      <w:proofErr w:type="spellStart"/>
      <w:r>
        <w:t>Автопартия</w:t>
      </w:r>
      <w:proofErr w:type="spellEnd"/>
      <w:r>
        <w:t>", ООО "Строй мастер", ООО "Добро-Опт".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>
        <w:t>ООО "Фракция", ООО "</w:t>
      </w:r>
      <w:proofErr w:type="spellStart"/>
      <w:r>
        <w:t>Комтранслогистик</w:t>
      </w:r>
      <w:proofErr w:type="spellEnd"/>
      <w:r>
        <w:t>", ООО "Добро-Опт" имеют признаки технических организаций.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Анализ расчетного счета показал, что за период 04.01.2021 по 29.12.2023 денежные средства поступали на расчетный счет от покупателей с назначением: за транспортные услуги, за услуги, по договору/счету, за товар, прочее. При этом налогоплательщик декларирует налоговые обязательства по УСН в размере не отвечающим действительным.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Согласно выписке об операциях на счетах в банках за период с 04.01.2021 по 29.12.2023 сумма денежных средств, перечисленных в адрес контрагентов, составила 44 902 094 руб. </w:t>
      </w:r>
      <w:r w:rsidRPr="00CC47BA">
        <w:rPr>
          <w:highlight w:val="yellow"/>
        </w:rPr>
        <w:t xml:space="preserve">Основная расходная часть предпринимателя состоит из перечислений с назначением платежа: </w:t>
      </w:r>
      <w:r w:rsidRPr="00CC47BA">
        <w:rPr>
          <w:highlight w:val="yellow"/>
        </w:rPr>
        <w:lastRenderedPageBreak/>
        <w:t xml:space="preserve">перечисление собственных средств, пополнение счета </w:t>
      </w:r>
      <w:proofErr w:type="spellStart"/>
      <w:r w:rsidRPr="00CC47BA">
        <w:rPr>
          <w:highlight w:val="yellow"/>
        </w:rPr>
        <w:t>Филюта</w:t>
      </w:r>
      <w:proofErr w:type="spellEnd"/>
      <w:r w:rsidRPr="00CC47BA">
        <w:rPr>
          <w:highlight w:val="yellow"/>
        </w:rPr>
        <w:t xml:space="preserve"> К.В., перевод собственных средств на счет, перевод по номеру - получатель </w:t>
      </w:r>
      <w:proofErr w:type="spellStart"/>
      <w:r w:rsidRPr="00CC47BA">
        <w:rPr>
          <w:highlight w:val="yellow"/>
        </w:rPr>
        <w:t>Филюта</w:t>
      </w:r>
      <w:proofErr w:type="spellEnd"/>
      <w:r w:rsidRPr="00CC47BA">
        <w:rPr>
          <w:highlight w:val="yellow"/>
        </w:rPr>
        <w:t xml:space="preserve"> К.В., а также выдача, снятие</w:t>
      </w:r>
      <w:proofErr w:type="gramEnd"/>
      <w:r w:rsidRPr="00CC47BA">
        <w:rPr>
          <w:highlight w:val="yellow"/>
        </w:rPr>
        <w:t xml:space="preserve"> наличных денежных сре</w:t>
      </w:r>
      <w:proofErr w:type="gramStart"/>
      <w:r w:rsidRPr="00CC47BA">
        <w:rPr>
          <w:highlight w:val="yellow"/>
        </w:rPr>
        <w:t>дств в б</w:t>
      </w:r>
      <w:proofErr w:type="gramEnd"/>
      <w:r w:rsidRPr="00CC47BA">
        <w:rPr>
          <w:highlight w:val="yellow"/>
        </w:rPr>
        <w:t>анкомате.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Произведены переводы по СБП через банки: ООО "Банк Точка" и Точка ПАО Банка "ФК Открытие" физическим лицам по номерам телефонов контрагентов - покупателей.</w:t>
      </w:r>
    </w:p>
    <w:p w:rsidR="00CC47BA" w:rsidRDefault="00CC47BA">
      <w:pPr>
        <w:pStyle w:val="ConsPlusNormal"/>
        <w:spacing w:before="220"/>
        <w:ind w:firstLine="540"/>
        <w:jc w:val="both"/>
      </w:pPr>
      <w:r w:rsidRPr="00CC47BA">
        <w:rPr>
          <w:highlight w:val="yellow"/>
        </w:rPr>
        <w:t xml:space="preserve">Перечислений в адрес поставщиков товаров, работ/услуг с расчетного счета ИП </w:t>
      </w:r>
      <w:proofErr w:type="spellStart"/>
      <w:r w:rsidRPr="00CC47BA">
        <w:rPr>
          <w:highlight w:val="yellow"/>
        </w:rPr>
        <w:t>Филюта</w:t>
      </w:r>
      <w:proofErr w:type="spellEnd"/>
      <w:r w:rsidRPr="00CC47BA">
        <w:rPr>
          <w:highlight w:val="yellow"/>
        </w:rPr>
        <w:t xml:space="preserve"> К.В. не установлено.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Установлено, что переводы денежных средств составили - 30 161 000 руб., пополнение счета - 7 536 000 руб., выдача наличных - 5 817 000 руб., прочее - 1 388 094 руб.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>Согласно анализа</w:t>
      </w:r>
      <w:proofErr w:type="gramEnd"/>
      <w:r>
        <w:t xml:space="preserve"> выписки </w:t>
      </w:r>
      <w:r w:rsidRPr="00CC47BA">
        <w:rPr>
          <w:highlight w:val="yellow"/>
        </w:rPr>
        <w:t xml:space="preserve">по расчетным счетам налогоплательщика отсутствуют расходные операции по расчетному счету, свидетельствующие о фактическом осуществлении предпринимательской деятельности (аренда транспортных средств, поскольку в собственности ИП они отсутствуют, покупка </w:t>
      </w:r>
      <w:proofErr w:type="spellStart"/>
      <w:r w:rsidRPr="00CC47BA">
        <w:rPr>
          <w:highlight w:val="yellow"/>
        </w:rPr>
        <w:t>зап</w:t>
      </w:r>
      <w:proofErr w:type="spellEnd"/>
      <w:r w:rsidRPr="00CC47BA">
        <w:rPr>
          <w:highlight w:val="yellow"/>
        </w:rPr>
        <w:t>. частей для автомобиля, ГСМ, приобретение ТМЦ для дальнейшей реализации и т.п.).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30">
        <w:r>
          <w:rPr>
            <w:color w:val="0000FF"/>
          </w:rPr>
          <w:t>статьей 3</w:t>
        </w:r>
      </w:hyperlink>
      <w:r>
        <w:t xml:space="preserve"> Федерального закона от 07.08.2001 N 115-ФЗ "О противодействии легализации (отмыванию) доходов, полученных преступным путем, и финансированию терроризма" легализация (отмывание) доходов, полученных преступным путем, - придание правомерного вида владению, пользованию или распоряжению денежными средствами или иным имуществом, полученными в результате совершения преступления.</w:t>
      </w:r>
    </w:p>
    <w:p w:rsidR="00CC47BA" w:rsidRDefault="00CC47BA">
      <w:pPr>
        <w:pStyle w:val="ConsPlusNormal"/>
        <w:spacing w:before="220"/>
        <w:ind w:firstLine="540"/>
        <w:jc w:val="both"/>
      </w:pPr>
      <w:proofErr w:type="gramStart"/>
      <w:r>
        <w:t xml:space="preserve">В силу </w:t>
      </w:r>
      <w:hyperlink r:id="rId31">
        <w:r>
          <w:rPr>
            <w:color w:val="0000FF"/>
          </w:rPr>
          <w:t>статьи 4</w:t>
        </w:r>
      </w:hyperlink>
      <w:r>
        <w:t xml:space="preserve"> указанного Закона к мерам, направленным на противодействие легализации (отмыванию) доходов, полученных преступным путем, относится запрет на информирование клиентов и иных лиц о принимаемых мерах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уничтожения, за исключением информирования клиентов о принятых мерах по замораживанию (блокированию) денежных средств или иного имущества, о приостановлении</w:t>
      </w:r>
      <w:proofErr w:type="gramEnd"/>
      <w:r>
        <w:t xml:space="preserve"> операции, а также об отказе в выполнении распоряжения клиента о совершении операций, об отказе от заключения договора банковского счета (вклада), о расторжении договора банковского счета (вклада) и их причинах, о необходимости предоставления документов по основаниям, предусмотренным настоящим Федеральным </w:t>
      </w:r>
      <w:hyperlink r:id="rId32">
        <w:r>
          <w:rPr>
            <w:color w:val="0000FF"/>
          </w:rPr>
          <w:t>законом</w:t>
        </w:r>
      </w:hyperlink>
      <w:r>
        <w:t>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силу вытекающего из </w:t>
      </w:r>
      <w:hyperlink r:id="rId33">
        <w:r>
          <w:rPr>
            <w:color w:val="0000FF"/>
          </w:rPr>
          <w:t>части 3 статьи 17</w:t>
        </w:r>
      </w:hyperlink>
      <w:r>
        <w:t xml:space="preserve"> Конституции Российской Федерации запрета злоупотребления правом никто не вправе извлекать преимущество (выгоду) из своего недобросовестного поведения. Общеправовой принцип добросовестного поведения определяет пределы осуществления своих субъективных прав налогоплательщиками.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Из правовой позиции Конституционного суда Российской Федерации, отраженной в </w:t>
      </w:r>
      <w:hyperlink r:id="rId34">
        <w:r>
          <w:rPr>
            <w:color w:val="0000FF"/>
          </w:rPr>
          <w:t>определении</w:t>
        </w:r>
      </w:hyperlink>
      <w:r>
        <w:t xml:space="preserve"> от 25.07.2001 N 138-О, следует, что </w:t>
      </w:r>
      <w:r w:rsidRPr="00CC47BA">
        <w:rPr>
          <w:highlight w:val="yellow"/>
        </w:rPr>
        <w:t>на недобросовестных налогоплательщиков не могут распространяться гарантии, установленные НК РФ для добросовестных налогоплательщиков.</w:t>
      </w:r>
    </w:p>
    <w:p w:rsidR="00CC47BA" w:rsidRDefault="00CC47BA">
      <w:pPr>
        <w:pStyle w:val="ConsPlusNormal"/>
        <w:spacing w:before="220"/>
        <w:ind w:firstLine="540"/>
        <w:jc w:val="both"/>
      </w:pPr>
      <w:r w:rsidRPr="00CC47BA">
        <w:rPr>
          <w:highlight w:val="yellow"/>
        </w:rPr>
        <w:t>Из ответа Федеральной службой по финансовому мониторингу</w:t>
      </w:r>
      <w:r>
        <w:t xml:space="preserve"> от 20.03.2025 N 21-31-03/1563 следует, что </w:t>
      </w:r>
      <w:r w:rsidRPr="00CC47BA">
        <w:rPr>
          <w:highlight w:val="yellow"/>
        </w:rPr>
        <w:t xml:space="preserve">в рамках автоматизированной проверки установлены финансовые операции </w:t>
      </w:r>
      <w:proofErr w:type="spellStart"/>
      <w:r w:rsidRPr="00CC47BA">
        <w:rPr>
          <w:highlight w:val="yellow"/>
        </w:rPr>
        <w:t>Филюты</w:t>
      </w:r>
      <w:proofErr w:type="spellEnd"/>
      <w:r w:rsidRPr="00CC47BA">
        <w:rPr>
          <w:highlight w:val="yellow"/>
        </w:rPr>
        <w:t xml:space="preserve"> К.В., указывающие на возможную связь с выводом денежных средств в наличный оборот через свои собственные счета, а также уклонение от уплаты налоговых платежей.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период с января 2022 года по август 2024 года на счета </w:t>
      </w:r>
      <w:proofErr w:type="spellStart"/>
      <w:r>
        <w:t>Филюты</w:t>
      </w:r>
      <w:proofErr w:type="spellEnd"/>
      <w:r>
        <w:t xml:space="preserve"> К.В. поступает около 2,8 млн. рублей от сомнительных физических и юридических лиц, обладающих признаками номинальности. </w:t>
      </w:r>
      <w:proofErr w:type="gramStart"/>
      <w:r>
        <w:t xml:space="preserve">После чего, в аналогичный период времени (январь 2022 года - апрель 2024 года) </w:t>
      </w:r>
      <w:r>
        <w:lastRenderedPageBreak/>
        <w:t xml:space="preserve">денежные средства в сумме около 2,9 млн. рублей со счета </w:t>
      </w:r>
      <w:proofErr w:type="spellStart"/>
      <w:r>
        <w:t>Филюты</w:t>
      </w:r>
      <w:proofErr w:type="spellEnd"/>
      <w:r>
        <w:t xml:space="preserve"> К.В. распределяются следующим образом: около 500 тыс. рублей направлены в адрес Майер Татьяны Геннадьевны, около 1,4 млн. рублей обналичено через терминалы кредитных организаций на территории г. Екатеринбург и г. Верхняя Пышма;</w:t>
      </w:r>
      <w:proofErr w:type="gramEnd"/>
      <w:r>
        <w:t xml:space="preserve"> </w:t>
      </w:r>
      <w:proofErr w:type="gramStart"/>
      <w:r>
        <w:t>около 750 тыс. рублей направлены на свои собственные счета, открытые на физическое лицо, в качестве заработной платы.</w:t>
      </w:r>
      <w:proofErr w:type="gramEnd"/>
    </w:p>
    <w:p w:rsidR="00CC47BA" w:rsidRDefault="00CC47BA">
      <w:pPr>
        <w:pStyle w:val="ConsPlusNormal"/>
        <w:spacing w:before="220"/>
        <w:ind w:firstLine="540"/>
        <w:jc w:val="both"/>
      </w:pPr>
      <w:r w:rsidRPr="00CC47BA">
        <w:rPr>
          <w:highlight w:val="yellow"/>
        </w:rPr>
        <w:t xml:space="preserve">Кредитные организации подтверждают, что финансовые операции по счетам </w:t>
      </w:r>
      <w:proofErr w:type="spellStart"/>
      <w:r w:rsidRPr="00CC47BA">
        <w:rPr>
          <w:highlight w:val="yellow"/>
        </w:rPr>
        <w:t>Филюты</w:t>
      </w:r>
      <w:proofErr w:type="spellEnd"/>
      <w:r w:rsidRPr="00CC47BA">
        <w:rPr>
          <w:highlight w:val="yellow"/>
        </w:rPr>
        <w:t xml:space="preserve"> К.В. отнесены к высокой зоне риска и направлены на </w:t>
      </w:r>
      <w:proofErr w:type="spellStart"/>
      <w:r w:rsidRPr="00CC47BA">
        <w:rPr>
          <w:highlight w:val="yellow"/>
        </w:rPr>
        <w:t>обналичивание</w:t>
      </w:r>
      <w:proofErr w:type="spellEnd"/>
      <w:r w:rsidRPr="00CC47BA">
        <w:rPr>
          <w:highlight w:val="yellow"/>
        </w:rPr>
        <w:t xml:space="preserve"> и транзитное движение денежных средств</w:t>
      </w:r>
      <w:r>
        <w:t xml:space="preserve">. В декабре 2020 года кредитные организации отказали в проведении операций по счетам </w:t>
      </w:r>
      <w:proofErr w:type="spellStart"/>
      <w:r>
        <w:t>Филюты</w:t>
      </w:r>
      <w:proofErr w:type="spellEnd"/>
      <w:r>
        <w:t xml:space="preserve"> К.В. на общую сумму около 345 тыс. рублей.</w:t>
      </w:r>
    </w:p>
    <w:p w:rsidR="00CC47BA" w:rsidRDefault="00CC47BA">
      <w:pPr>
        <w:pStyle w:val="ConsPlusNormal"/>
        <w:spacing w:before="220"/>
        <w:ind w:firstLine="540"/>
        <w:jc w:val="both"/>
      </w:pPr>
      <w:r w:rsidRPr="00CC47BA">
        <w:rPr>
          <w:highlight w:val="yellow"/>
        </w:rPr>
        <w:t xml:space="preserve">По мнению </w:t>
      </w:r>
      <w:proofErr w:type="spellStart"/>
      <w:r w:rsidRPr="00CC47BA">
        <w:rPr>
          <w:highlight w:val="yellow"/>
        </w:rPr>
        <w:t>Росфинмониторинга</w:t>
      </w:r>
      <w:proofErr w:type="spellEnd"/>
      <w:r w:rsidRPr="00CC47BA">
        <w:rPr>
          <w:highlight w:val="yellow"/>
        </w:rPr>
        <w:t xml:space="preserve">, в действиях </w:t>
      </w:r>
      <w:proofErr w:type="spellStart"/>
      <w:r w:rsidRPr="00CC47BA">
        <w:rPr>
          <w:highlight w:val="yellow"/>
        </w:rPr>
        <w:t>Филюты</w:t>
      </w:r>
      <w:proofErr w:type="spellEnd"/>
      <w:r w:rsidRPr="00CC47BA">
        <w:rPr>
          <w:highlight w:val="yellow"/>
        </w:rPr>
        <w:t xml:space="preserve"> К.В. присутствует противоправный характер, направленный на уменьшение либо сокрытие налогооблагаемой базы, с целью уклонения от уплаты налоговых сборов. Имеются основания полагать, что с фигурантом запроса заключали фиктивные договоры для получения необоснованного налогового вычета либо уменьшения налогооблагаемой базы на прибыль номинальных юридических и физических лиц.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Учитывая изложенные принципы и обстоятельства настоящего дела, суд первой инстанции пришел к правильному выводу, что спорную сумму нельзя расценивать как излишне уплаченный налог, поскольку у заявителя не было намерения исполнять текущие или предстоящие налоговые обязательства.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Принятие инспекцией спорных сумм в качестве ЕНП также не означает, что впоследствии налоговый орган, получив сведения о налоговых обязательствах предпринимателя, не вправе сделать вывод о незаконности осуществляемого возврата. На момент зачисления ЕНП такие сведения у инспекции объективно отсутствовали.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Поскольку впоследствии налоговым органом установлено перечисление денежных средств на ЕНС для целей, отличных от исполнения обязанности по уплате налога, в размере, существенно превышающем как текущие, так и возможные налоговые обязательства заявителя, суд первой инстанции пришел к верному выводу об отсутствии правовых оснований для удовлетворения заявленных требований.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Нарушений норм материального и процессуального права, которые в соответствии со </w:t>
      </w:r>
      <w:hyperlink r:id="rId35">
        <w:r>
          <w:rPr>
            <w:color w:val="0000FF"/>
          </w:rPr>
          <w:t>статьи 270</w:t>
        </w:r>
      </w:hyperlink>
      <w:r>
        <w:t xml:space="preserve"> АПК РФ являются основаниями к отмене или изменению судебных актов, судом апелляционной инстанции не установлено.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В силу </w:t>
      </w:r>
      <w:hyperlink r:id="rId36">
        <w:r>
          <w:rPr>
            <w:color w:val="0000FF"/>
          </w:rPr>
          <w:t>части 1 статьи 110</w:t>
        </w:r>
      </w:hyperlink>
      <w:r>
        <w:t xml:space="preserve"> АПК РФ судебные расходы истца по уплате госпошлины за подачу апелляционной жалобы в размере 10 000 руб. остаются на истце.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 xml:space="preserve">Руководствуясь </w:t>
      </w:r>
      <w:hyperlink r:id="rId37">
        <w:r>
          <w:rPr>
            <w:color w:val="0000FF"/>
          </w:rPr>
          <w:t>статьями 176</w:t>
        </w:r>
      </w:hyperlink>
      <w:r>
        <w:t xml:space="preserve">, </w:t>
      </w:r>
      <w:hyperlink r:id="rId38">
        <w:r>
          <w:rPr>
            <w:color w:val="0000FF"/>
          </w:rPr>
          <w:t>258</w:t>
        </w:r>
      </w:hyperlink>
      <w:r>
        <w:t xml:space="preserve">, </w:t>
      </w:r>
      <w:hyperlink r:id="rId39">
        <w:r>
          <w:rPr>
            <w:color w:val="0000FF"/>
          </w:rPr>
          <w:t>266</w:t>
        </w:r>
      </w:hyperlink>
      <w:r>
        <w:t xml:space="preserve">, </w:t>
      </w:r>
      <w:hyperlink r:id="rId40">
        <w:r>
          <w:rPr>
            <w:color w:val="0000FF"/>
          </w:rPr>
          <w:t>268</w:t>
        </w:r>
      </w:hyperlink>
      <w:r>
        <w:t xml:space="preserve">, </w:t>
      </w:r>
      <w:hyperlink r:id="rId41">
        <w:r>
          <w:rPr>
            <w:color w:val="0000FF"/>
          </w:rPr>
          <w:t>269</w:t>
        </w:r>
      </w:hyperlink>
      <w:r>
        <w:t xml:space="preserve">, </w:t>
      </w:r>
      <w:hyperlink r:id="rId42">
        <w:r>
          <w:rPr>
            <w:color w:val="0000FF"/>
          </w:rPr>
          <w:t>271</w:t>
        </w:r>
      </w:hyperlink>
      <w:r>
        <w:t xml:space="preserve"> Арбитражного процессуального кодекса Российской Федерации, Семнадцатый арбитражный апелляционный суд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center"/>
      </w:pPr>
      <w:r>
        <w:t>постановил: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ind w:firstLine="540"/>
        <w:jc w:val="both"/>
      </w:pPr>
      <w:hyperlink r:id="rId43">
        <w:r>
          <w:rPr>
            <w:color w:val="0000FF"/>
          </w:rPr>
          <w:t>Решение</w:t>
        </w:r>
      </w:hyperlink>
      <w:r>
        <w:t xml:space="preserve"> Арбитражного суда Свердловской области от 23 сентября 2024 года по делу N А60-27845/2024 оставить без изменения, апелляционную жалобу - без удовлетворения.</w:t>
      </w:r>
    </w:p>
    <w:p w:rsidR="00CC47BA" w:rsidRDefault="00CC47BA">
      <w:pPr>
        <w:pStyle w:val="ConsPlusNormal"/>
        <w:spacing w:before="220"/>
        <w:ind w:firstLine="540"/>
        <w:jc w:val="both"/>
      </w:pPr>
      <w:r>
        <w:t>Постановление может быть обжаловано в порядке кассационного производства в Арбитражный суд Уральского округа в срок, не превышающий двух месяцев со дня его принятия, через Арбитражный суд Свердловской области.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right"/>
      </w:pPr>
      <w:r>
        <w:t>Председательствующий</w:t>
      </w:r>
    </w:p>
    <w:p w:rsidR="00CC47BA" w:rsidRDefault="00CC47BA">
      <w:pPr>
        <w:pStyle w:val="ConsPlusNormal"/>
        <w:jc w:val="right"/>
      </w:pPr>
      <w:r>
        <w:t>Е.В.ВАСИЛЬЕВА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right"/>
      </w:pPr>
      <w:r>
        <w:lastRenderedPageBreak/>
        <w:t>Судьи</w:t>
      </w:r>
    </w:p>
    <w:p w:rsidR="00CC47BA" w:rsidRDefault="00CC47BA">
      <w:pPr>
        <w:pStyle w:val="ConsPlusNormal"/>
        <w:jc w:val="right"/>
      </w:pPr>
      <w:r>
        <w:t>Е.Ю.МУРАВЬЕВА</w:t>
      </w:r>
    </w:p>
    <w:p w:rsidR="00CC47BA" w:rsidRDefault="00CC47BA">
      <w:pPr>
        <w:pStyle w:val="ConsPlusNormal"/>
        <w:jc w:val="right"/>
      </w:pPr>
      <w:r>
        <w:t>Ю.В.ШАЛАМОВА</w:t>
      </w: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jc w:val="both"/>
      </w:pPr>
    </w:p>
    <w:p w:rsidR="00CC47BA" w:rsidRDefault="00CC47B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06FAB" w:rsidRDefault="00946E80"/>
    <w:sectPr w:rsidR="00A06FAB" w:rsidSect="00824672">
      <w:footerReference w:type="default" r:id="rId4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E80" w:rsidRDefault="00946E80" w:rsidP="00CC47BA">
      <w:pPr>
        <w:spacing w:after="0" w:line="240" w:lineRule="auto"/>
      </w:pPr>
      <w:r>
        <w:separator/>
      </w:r>
    </w:p>
  </w:endnote>
  <w:endnote w:type="continuationSeparator" w:id="0">
    <w:p w:rsidR="00946E80" w:rsidRDefault="00946E80" w:rsidP="00CC4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063235"/>
      <w:docPartObj>
        <w:docPartGallery w:val="Page Numbers (Bottom of Page)"/>
        <w:docPartUnique/>
      </w:docPartObj>
    </w:sdtPr>
    <w:sdtContent>
      <w:p w:rsidR="00CC47BA" w:rsidRDefault="00CC47BA">
        <w:pPr>
          <w:pStyle w:val="a8"/>
          <w:jc w:val="right"/>
        </w:pPr>
        <w:fldSimple w:instr=" PAGE   \* MERGEFORMAT ">
          <w:r w:rsidR="00854EA8">
            <w:rPr>
              <w:noProof/>
            </w:rPr>
            <w:t>1</w:t>
          </w:r>
        </w:fldSimple>
      </w:p>
    </w:sdtContent>
  </w:sdt>
  <w:p w:rsidR="00CC47BA" w:rsidRDefault="00CC47B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E80" w:rsidRDefault="00946E80" w:rsidP="00CC47BA">
      <w:pPr>
        <w:spacing w:after="0" w:line="240" w:lineRule="auto"/>
      </w:pPr>
      <w:r>
        <w:separator/>
      </w:r>
    </w:p>
  </w:footnote>
  <w:footnote w:type="continuationSeparator" w:id="0">
    <w:p w:rsidR="00946E80" w:rsidRDefault="00946E80" w:rsidP="00CC47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7BA"/>
    <w:rsid w:val="000B07A5"/>
    <w:rsid w:val="00241B5F"/>
    <w:rsid w:val="00267955"/>
    <w:rsid w:val="002A5D8D"/>
    <w:rsid w:val="003E0027"/>
    <w:rsid w:val="003F2C22"/>
    <w:rsid w:val="006A08C7"/>
    <w:rsid w:val="007C3ED7"/>
    <w:rsid w:val="00854EA8"/>
    <w:rsid w:val="008E04A0"/>
    <w:rsid w:val="00914169"/>
    <w:rsid w:val="0094644D"/>
    <w:rsid w:val="00946E80"/>
    <w:rsid w:val="009675C3"/>
    <w:rsid w:val="009D3B2F"/>
    <w:rsid w:val="00A43240"/>
    <w:rsid w:val="00C000FC"/>
    <w:rsid w:val="00CC47BA"/>
    <w:rsid w:val="00CD6C28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1416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16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16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16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169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16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1416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1416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1416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14169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14169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914169"/>
    <w:rPr>
      <w:b/>
      <w:bCs/>
    </w:rPr>
  </w:style>
  <w:style w:type="paragraph" w:styleId="a5">
    <w:name w:val="No Spacing"/>
    <w:uiPriority w:val="1"/>
    <w:qFormat/>
    <w:rsid w:val="00914169"/>
    <w:rPr>
      <w:sz w:val="22"/>
      <w:szCs w:val="22"/>
      <w:lang w:eastAsia="en-US"/>
    </w:rPr>
  </w:style>
  <w:style w:type="paragraph" w:customStyle="1" w:styleId="ConsPlusNormal">
    <w:name w:val="ConsPlusNormal"/>
    <w:rsid w:val="00CC47BA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  <w:style w:type="paragraph" w:customStyle="1" w:styleId="ConsPlusTitle">
    <w:name w:val="ConsPlusTitle"/>
    <w:rsid w:val="00CC47BA"/>
    <w:pPr>
      <w:widowControl w:val="0"/>
      <w:autoSpaceDE w:val="0"/>
      <w:autoSpaceDN w:val="0"/>
    </w:pPr>
    <w:rPr>
      <w:rFonts w:eastAsiaTheme="minorEastAsia" w:cs="Calibri"/>
      <w:b/>
      <w:sz w:val="22"/>
      <w:szCs w:val="22"/>
    </w:rPr>
  </w:style>
  <w:style w:type="paragraph" w:customStyle="1" w:styleId="ConsPlusTitlePage">
    <w:name w:val="ConsPlusTitlePage"/>
    <w:rsid w:val="00CC47BA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CC4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C47BA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CC4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7B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472B6DC2801AA2954AA4262E49215BCD6A25DA1CB4D828A6AF5FA8F8F79FEB4699447DA1743826E6155ED0F93ABFGFM7M" TargetMode="External"/><Relationship Id="rId13" Type="http://schemas.openxmlformats.org/officeDocument/2006/relationships/hyperlink" Target="consultantplus://offline/ref=D6472B6DC2801AA2954AA9342C207408C46128DD17B7D37AF1AD0EFDF6F297BB0E891838F4783F26FE1E0D9FBF6FB0F2CF12282E39316EA2G1MEM" TargetMode="External"/><Relationship Id="rId18" Type="http://schemas.openxmlformats.org/officeDocument/2006/relationships/hyperlink" Target="consultantplus://offline/ref=D6472B6DC2801AA2954AA9342C207408C4602FD41DBDD37AF1AD0EFDF6F297BB0E89183FF37E3F2EAC441D9BF63ABEECCC0B362B2731G6MBM" TargetMode="External"/><Relationship Id="rId26" Type="http://schemas.openxmlformats.org/officeDocument/2006/relationships/hyperlink" Target="consultantplus://offline/ref=D6472B6DC2801AA2954AA9342C207408C4602FD41DBDD37AF1AD0EFDF6F297BB0E89183FF47E3A2EAC441D9BF63ABEECCC0B362B2731G6MBM" TargetMode="External"/><Relationship Id="rId39" Type="http://schemas.openxmlformats.org/officeDocument/2006/relationships/hyperlink" Target="consultantplus://offline/ref=D6472B6DC2801AA2954AA9342C207408C46128DD17B7D37AF1AD0EFDF6F297BB0E891838F4783F26FE1E0D9FBF6FB0F2CF12282E39316EA2G1ME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6472B6DC2801AA2954AA9342C207408C4602FD41DBDD37AF1AD0EFDF6F297BB0E89183CF171312EAC441D9BF63ABEECCC0B362B2731G6MBM" TargetMode="External"/><Relationship Id="rId34" Type="http://schemas.openxmlformats.org/officeDocument/2006/relationships/hyperlink" Target="consultantplus://offline/ref=D6472B6DC2801AA2954AA9342C207408C36A2BDB11BF8E70F9F402FFF1FDC8BE09981839F7673822E61759CCGFMEM" TargetMode="External"/><Relationship Id="rId42" Type="http://schemas.openxmlformats.org/officeDocument/2006/relationships/hyperlink" Target="consultantplus://offline/ref=D6472B6DC2801AA2954AA9342C207408C46128DD17B7D37AF1AD0EFDF6F297BB0E891838F4783F22FE1E0D9FBF6FB0F2CF12282E39316EA2G1MEM" TargetMode="External"/><Relationship Id="rId7" Type="http://schemas.openxmlformats.org/officeDocument/2006/relationships/hyperlink" Target="consultantplus://offline/ref=D6472B6DC2801AA2954AA9342C207408C46128DD17B7D37AF1AD0EFDF6F297BB0E89183BFD713371A9510CC3FB39A3F2CB122A2925G3M6M" TargetMode="External"/><Relationship Id="rId12" Type="http://schemas.openxmlformats.org/officeDocument/2006/relationships/hyperlink" Target="consultantplus://offline/ref=D6472B6DC2801AA2954AA9342C207408C46128DD17B7D37AF1AD0EFDF6F297BB0E891838F4783825F01E0D9FBF6FB0F2CF12282E39316EA2G1MEM" TargetMode="External"/><Relationship Id="rId17" Type="http://schemas.openxmlformats.org/officeDocument/2006/relationships/hyperlink" Target="consultantplus://offline/ref=D6472B6DC2801AA2954AA9342C207408C4602FD41DBDD37AF1AD0EFDF6F297BB0E89183CF27C382EAC441D9BF63ABEECCC0B362B2731G6MBM" TargetMode="External"/><Relationship Id="rId25" Type="http://schemas.openxmlformats.org/officeDocument/2006/relationships/hyperlink" Target="consultantplus://offline/ref=D6472B6DC2801AA2954AA9342C207408C4602FD41DBDD37AF1AD0EFDF6F297BB0E89183FF47E382EAC441D9BF63ABEECCC0B362B2731G6MBM" TargetMode="External"/><Relationship Id="rId33" Type="http://schemas.openxmlformats.org/officeDocument/2006/relationships/hyperlink" Target="consultantplus://offline/ref=D6472B6DC2801AA2954AA9342C207408C2602AD91FE28478A0F800F8FEA2DFAB40CC1539F47E302EAC441D9BF63ABEECCC0B362B2731G6MBM" TargetMode="External"/><Relationship Id="rId38" Type="http://schemas.openxmlformats.org/officeDocument/2006/relationships/hyperlink" Target="consultantplus://offline/ref=D6472B6DC2801AA2954AA9342C207408C46128DD17B7D37AF1AD0EFDF6F297BB0E891838F4783E22FB1E0D9FBF6FB0F2CF12282E39316EA2G1MEM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6472B6DC2801AA2954AA9342C207408C4602FD41DBDD37AF1AD0EFDF6F297BB0E89183CF27A392EAC441D9BF63ABEECCC0B362B2731G6MBM" TargetMode="External"/><Relationship Id="rId20" Type="http://schemas.openxmlformats.org/officeDocument/2006/relationships/hyperlink" Target="consultantplus://offline/ref=D6472B6DC2801AA2954AA9342C207408C4602FD41DBDD37AF1AD0EFDF6F297BB0E89183CF27B312EAC441D9BF63ABEECCC0B362B2731G6MBM" TargetMode="External"/><Relationship Id="rId29" Type="http://schemas.openxmlformats.org/officeDocument/2006/relationships/hyperlink" Target="consultantplus://offline/ref=D6472B6DC2801AA2954AA9342C207408C56028DC12BF8E70F9F402FFF1FDC8AC09C01439F4793A21F341088AAE37BDF1D20C2F3725336CGAM5M" TargetMode="External"/><Relationship Id="rId41" Type="http://schemas.openxmlformats.org/officeDocument/2006/relationships/hyperlink" Target="consultantplus://offline/ref=D6472B6DC2801AA2954AA9342C207408C46128DD17B7D37AF1AD0EFDF6F297BB0E891838F4783F20F91E0D9FBF6FB0F2CF12282E39316EA2G1ME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472B6DC2801AA2954AA9342C207408C46128DD17B7D37AF1AD0EFDF6F297BB0E891838F4793F27F11E0D9FBF6FB0F2CF12282E39316EA2G1MEM" TargetMode="External"/><Relationship Id="rId11" Type="http://schemas.openxmlformats.org/officeDocument/2006/relationships/hyperlink" Target="consultantplus://offline/ref=D6472B6DC2801AA2954AA9342C207408C46128DD17B7D37AF1AD0EFDF6F297BB0E891838F4783F21FA1E0D9FBF6FB0F2CF12282E39316EA2G1MEM" TargetMode="External"/><Relationship Id="rId24" Type="http://schemas.openxmlformats.org/officeDocument/2006/relationships/hyperlink" Target="consultantplus://offline/ref=D6472B6DC2801AA2954AA9342C207408C4602FD41DBDD37AF1AD0EFDF6F297BB0E89183FF47F3B2EAC441D9BF63ABEECCC0B362B2731G6MBM" TargetMode="External"/><Relationship Id="rId32" Type="http://schemas.openxmlformats.org/officeDocument/2006/relationships/hyperlink" Target="consultantplus://offline/ref=D6472B6DC2801AA2954AA9342C207408C46D2BDD17B0D37AF1AD0EFDF6F297BB1C894034F47A2625FF0B5BCEF9G3MFM" TargetMode="External"/><Relationship Id="rId37" Type="http://schemas.openxmlformats.org/officeDocument/2006/relationships/hyperlink" Target="consultantplus://offline/ref=D6472B6DC2801AA2954AA9342C207408C46128DD17B7D37AF1AD0EFDF6F297BB0E891838F4783924F91E0D9FBF6FB0F2CF12282E39316EA2G1MEM" TargetMode="External"/><Relationship Id="rId40" Type="http://schemas.openxmlformats.org/officeDocument/2006/relationships/hyperlink" Target="consultantplus://offline/ref=D6472B6DC2801AA2954AA9342C207408C46128DD17B7D37AF1AD0EFDF6F297BB0E891838F4783F21FA1E0D9FBF6FB0F2CF12282E39316EA2G1MEM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D6472B6DC2801AA2954AA9342C207408C46128DD17B7D37AF1AD0EFDF6F297BB0E891838F4793C24F11E0D9FBF6FB0F2CF12282E39316EA2G1MEM" TargetMode="External"/><Relationship Id="rId23" Type="http://schemas.openxmlformats.org/officeDocument/2006/relationships/hyperlink" Target="consultantplus://offline/ref=D6472B6DC2801AA2954AA9342C207408C4602FD41DBDD37AF1AD0EFDF6F297BB0E89183FF47F3A2EAC441D9BF63ABEECCC0B362B2731G6MBM" TargetMode="External"/><Relationship Id="rId28" Type="http://schemas.openxmlformats.org/officeDocument/2006/relationships/hyperlink" Target="consultantplus://offline/ref=D6472B6DC2801AA2954AA9342C207408C4602FDA1DB6D37AF1AD0EFDF6F297BB0E89183BF27A3371A9510CC3FB39A3F2CB122A2925G3M6M" TargetMode="External"/><Relationship Id="rId36" Type="http://schemas.openxmlformats.org/officeDocument/2006/relationships/hyperlink" Target="consultantplus://offline/ref=D6472B6DC2801AA2954AA9342C207408C46128DD17B7D37AF1AD0EFDF6F297BB0E891838F4793E23FF1E0D9FBF6FB0F2CF12282E39316EA2G1MEM" TargetMode="External"/><Relationship Id="rId10" Type="http://schemas.openxmlformats.org/officeDocument/2006/relationships/hyperlink" Target="consultantplus://offline/ref=D6472B6DC2801AA2954AA9342C207408C46D2BDD17B0D37AF1AD0EFDF6F297BB1C894034F47A2625FF0B5BCEF9G3MFM" TargetMode="External"/><Relationship Id="rId19" Type="http://schemas.openxmlformats.org/officeDocument/2006/relationships/hyperlink" Target="consultantplus://offline/ref=D6472B6DC2801AA2954AA9342C207408C4602FD41DBDD37AF1AD0EFDF6F297BB0E89183CF2783E2EAC441D9BF63ABEECCC0B362B2731G6MBM" TargetMode="External"/><Relationship Id="rId31" Type="http://schemas.openxmlformats.org/officeDocument/2006/relationships/hyperlink" Target="consultantplus://offline/ref=D6472B6DC2801AA2954AA9342C207408C46D2BDD17B0D37AF1AD0EFDF6F297BB0E89183BFD7B3371A9510CC3FB39A3F2CB122A2925G3M6M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D6472B6DC2801AA2954AA4262E49215BCD6A25DA1CB4D828A6AF5FA8F8F79FEB4699447DA1743826E6155ED0F93ABFGFM7M" TargetMode="External"/><Relationship Id="rId14" Type="http://schemas.openxmlformats.org/officeDocument/2006/relationships/hyperlink" Target="consultantplus://offline/ref=D6472B6DC2801AA2954AA9342C207408C46128DD17B7D37AF1AD0EFDF6F297BB0E891838F4783F21FA1E0D9FBF6FB0F2CF12282E39316EA2G1MEM" TargetMode="External"/><Relationship Id="rId22" Type="http://schemas.openxmlformats.org/officeDocument/2006/relationships/hyperlink" Target="consultantplus://offline/ref=D6472B6DC2801AA2954AA9342C207408C4602FD41DBDD37AF1AD0EFDF6F297BB0E89183FF47F3A2EAC441D9BF63ABEECCC0B362B2731G6MBM" TargetMode="External"/><Relationship Id="rId27" Type="http://schemas.openxmlformats.org/officeDocument/2006/relationships/hyperlink" Target="consultantplus://offline/ref=D6472B6DC2801AA2954AA9342C207408C4602FDA1DB6D37AF1AD0EFDF6F297BB0E89183BF2783371A9510CC3FB39A3F2CB122A2925G3M6M" TargetMode="External"/><Relationship Id="rId30" Type="http://schemas.openxmlformats.org/officeDocument/2006/relationships/hyperlink" Target="consultantplus://offline/ref=D6472B6DC2801AA2954AA9342C207408C46D2BDD17B0D37AF1AD0EFDF6F297BB0E891838F4793A20F01E0D9FBF6FB0F2CF12282E39316EA2G1MEM" TargetMode="External"/><Relationship Id="rId35" Type="http://schemas.openxmlformats.org/officeDocument/2006/relationships/hyperlink" Target="consultantplus://offline/ref=D6472B6DC2801AA2954AA9342C207408C46128DD17B7D37AF1AD0EFDF6F297BB0E891838F4783F20FE1E0D9FBF6FB0F2CF12282E39316EA2G1MEM" TargetMode="External"/><Relationship Id="rId43" Type="http://schemas.openxmlformats.org/officeDocument/2006/relationships/hyperlink" Target="consultantplus://offline/ref=D6472B6DC2801AA2954AA4262E49215BCD6A25DA1CB4D828A6AF5FA8F8F79FEB4699447DA1743826E6155ED0F93ABFGFM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4193</Words>
  <Characters>23903</Characters>
  <Application>Microsoft Office Word</Application>
  <DocSecurity>0</DocSecurity>
  <Lines>199</Lines>
  <Paragraphs>56</Paragraphs>
  <ScaleCrop>false</ScaleCrop>
  <Company/>
  <LinksUpToDate>false</LinksUpToDate>
  <CharactersWithSpaces>28040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2025-07-03T12:12:00Z</dcterms:created>
  <dcterms:modified xsi:type="dcterms:W3CDTF">2025-07-03T12:18:00Z</dcterms:modified>
</cp:coreProperties>
</file>