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45952">
      <w:pPr>
        <w:pStyle w:val="ConsPlusNormal"/>
        <w:jc w:val="both"/>
        <w:outlineLvl w:val="0"/>
      </w:pPr>
    </w:p>
    <w:p w:rsidR="00000000" w:rsidRDefault="00545952">
      <w:pPr>
        <w:pStyle w:val="ConsPlusNormal"/>
        <w:ind w:firstLine="540"/>
        <w:jc w:val="both"/>
      </w:pPr>
      <w:r>
        <w:rPr>
          <w:b/>
          <w:bCs/>
        </w:rPr>
        <w:t>Вопрос:</w:t>
      </w:r>
      <w:r>
        <w:t xml:space="preserve"> О применении нулевой ставки НДС гостиницами, применяющими УСН, с 01.01.2025.</w:t>
      </w:r>
    </w:p>
    <w:p w:rsidR="00000000" w:rsidRDefault="00545952">
      <w:pPr>
        <w:pStyle w:val="ConsPlusNormal"/>
        <w:jc w:val="both"/>
      </w:pPr>
    </w:p>
    <w:p w:rsidR="00000000" w:rsidRDefault="00545952">
      <w:pPr>
        <w:pStyle w:val="ConsPlusNormal"/>
        <w:ind w:firstLine="540"/>
        <w:jc w:val="both"/>
      </w:pPr>
      <w:r>
        <w:rPr>
          <w:b/>
          <w:bCs/>
        </w:rPr>
        <w:t>Ответ:</w:t>
      </w:r>
    </w:p>
    <w:p w:rsidR="00000000" w:rsidRDefault="00545952">
      <w:pPr>
        <w:pStyle w:val="ConsPlusTitle"/>
        <w:spacing w:before="240"/>
        <w:jc w:val="center"/>
      </w:pPr>
      <w:r>
        <w:t>МИНИСТЕРСТВО ФИНАНСОВ РОССИЙСКОЙ ФЕДЕРАЦИИ</w:t>
      </w:r>
    </w:p>
    <w:p w:rsidR="00000000" w:rsidRDefault="00545952">
      <w:pPr>
        <w:pStyle w:val="ConsPlusTitle"/>
        <w:jc w:val="center"/>
      </w:pPr>
    </w:p>
    <w:p w:rsidR="00000000" w:rsidRDefault="00545952">
      <w:pPr>
        <w:pStyle w:val="ConsPlusTitle"/>
        <w:jc w:val="center"/>
      </w:pPr>
      <w:r>
        <w:t>ФЕДЕРАЛЬНАЯ НАЛОГОВАЯ СЛУЖБА</w:t>
      </w:r>
    </w:p>
    <w:p w:rsidR="00000000" w:rsidRDefault="00545952">
      <w:pPr>
        <w:pStyle w:val="ConsPlusTitle"/>
        <w:jc w:val="center"/>
      </w:pPr>
    </w:p>
    <w:p w:rsidR="00000000" w:rsidRDefault="00545952">
      <w:pPr>
        <w:pStyle w:val="ConsPlusTitle"/>
        <w:jc w:val="center"/>
      </w:pPr>
      <w:r>
        <w:t>ПИСЬМО</w:t>
      </w:r>
    </w:p>
    <w:p w:rsidR="00000000" w:rsidRDefault="00545952">
      <w:pPr>
        <w:pStyle w:val="ConsPlusTitle"/>
        <w:jc w:val="center"/>
      </w:pPr>
      <w:r>
        <w:t>от 31 октября 2024 г. N ЗГ-2-3/16118@</w:t>
      </w:r>
    </w:p>
    <w:p w:rsidR="00000000" w:rsidRDefault="00545952">
      <w:pPr>
        <w:pStyle w:val="ConsPlusNormal"/>
        <w:jc w:val="both"/>
      </w:pPr>
    </w:p>
    <w:p w:rsidR="00000000" w:rsidRDefault="00545952">
      <w:pPr>
        <w:pStyle w:val="ConsPlusNormal"/>
        <w:ind w:firstLine="540"/>
        <w:jc w:val="both"/>
      </w:pPr>
      <w:r>
        <w:t xml:space="preserve">Управление налогообложения юридических лиц ФНС России рассмотрело интернет-обращение от 03.10.2024 по вопросу применения налоговой ставки налога на добавленную стоимость (далее - НДС) в размере 0 процентов с 01.01.2025 гостиницами, применяющими упрощенную </w:t>
      </w:r>
      <w:r>
        <w:t>систему налогообложения (далее - УСН), и сообщает следующее.</w:t>
      </w:r>
    </w:p>
    <w:p w:rsidR="00000000" w:rsidRDefault="00545952">
      <w:pPr>
        <w:pStyle w:val="ConsPlusNormal"/>
        <w:spacing w:before="240"/>
        <w:ind w:firstLine="540"/>
        <w:jc w:val="both"/>
      </w:pPr>
      <w:r>
        <w:t xml:space="preserve">С 01.01.2025 в соответствии с изменениями, внесенными Федеральным </w:t>
      </w:r>
      <w:hyperlink r:id="rId6" w:tooltip="Федеральный закон от 12.07.2024 N 176-ФЗ (ред. от 29.10.2024)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------------ Недействующая редакция{КонсультантПлюс}" w:history="1">
        <w:r>
          <w:rPr>
            <w:color w:val="0000FF"/>
          </w:rPr>
          <w:t>законом</w:t>
        </w:r>
      </w:hyperlink>
      <w:r>
        <w:t xml:space="preserve"> от 12.07.2024 N 176-ФЗ в </w:t>
      </w:r>
      <w:hyperlink r:id="rId7" w:tooltip="&quot;Налоговый кодекс Российской Федерации (часть вторая)&quot; от 05.08.2000 N 117-ФЗ (ред. от 12.12.2024)------------ Редакция с изменениями, не вступившими в силу{КонсультантПлюс}" w:history="1">
        <w:r>
          <w:rPr>
            <w:color w:val="0000FF"/>
          </w:rPr>
          <w:t>главы 21</w:t>
        </w:r>
      </w:hyperlink>
      <w:r>
        <w:t xml:space="preserve"> и </w:t>
      </w:r>
      <w:hyperlink r:id="rId8" w:tooltip="&quot;Налоговый кодекс Российской Федерации (часть вторая)&quot; от 05.08.2000 N 117-ФЗ (ред. от 12.12.2024)------------ Редакция с изменениями, не вступившими в силу{КонсультантПлюс}" w:history="1">
        <w:r>
          <w:rPr>
            <w:color w:val="0000FF"/>
          </w:rPr>
          <w:t>26.2</w:t>
        </w:r>
      </w:hyperlink>
      <w:r>
        <w:t xml:space="preserve"> Налогового кодекса Российской Федер</w:t>
      </w:r>
      <w:r>
        <w:t>ации, гостиницы, применяющие УСН, становятся налогоплательщиками НДС.</w:t>
      </w:r>
    </w:p>
    <w:p w:rsidR="00000000" w:rsidRDefault="00545952">
      <w:pPr>
        <w:pStyle w:val="ConsPlusNormal"/>
        <w:spacing w:before="240"/>
        <w:ind w:firstLine="540"/>
        <w:jc w:val="both"/>
      </w:pPr>
      <w:r>
        <w:t xml:space="preserve">В соответствии с </w:t>
      </w:r>
      <w:hyperlink r:id="rId9" w:tooltip="&quot;Налоговый кодекс Российской Федерации (часть вторая)&quot; от 05.08.2000 N 117-ФЗ (ред. от 12.12.2024)------------ Редакция с изменениями, не вступившими в силу{КонсультантПлюс}" w:history="1">
        <w:r>
          <w:rPr>
            <w:color w:val="0000FF"/>
          </w:rPr>
          <w:t>пунктом 1 статьи 145</w:t>
        </w:r>
      </w:hyperlink>
      <w:r>
        <w:t xml:space="preserve"> Налогового кодекса Российской Федерации (далее - Кодекс) в редакции Федерального закона от 12.07.2024 N 17</w:t>
      </w:r>
      <w:r>
        <w:t>6-ФЗ в случае если доходы налогоплательщиков УСН за 2024 год не превысили 60 млн рублей, то с 01.01.2025 такие налогоплательщики освобождаются от обязанности по исчислению и уплате НДС в бюджет.</w:t>
      </w:r>
    </w:p>
    <w:p w:rsidR="00000000" w:rsidRDefault="00545952">
      <w:pPr>
        <w:pStyle w:val="ConsPlusNormal"/>
        <w:spacing w:before="240"/>
        <w:ind w:firstLine="540"/>
        <w:jc w:val="both"/>
      </w:pPr>
      <w:r>
        <w:t xml:space="preserve">Таким образом, гостиницы, применяющие УСН, с доходом за 2024 </w:t>
      </w:r>
      <w:r>
        <w:t>год не более 60 млн рублей с 01.01.2025 НДС не исчисляют и не уплачивают в бюджет.</w:t>
      </w:r>
    </w:p>
    <w:p w:rsidR="00000000" w:rsidRDefault="00545952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10" w:tooltip="&quot;Налоговый кодекс Российской Федерации (часть вторая)&quot; от 05.08.2000 N 117-ФЗ (ред. от 12.12.2024)------------ Редакция с изменениями, не вступившими в силу{КонсультантПлюс}" w:history="1">
        <w:r>
          <w:rPr>
            <w:color w:val="0000FF"/>
          </w:rPr>
          <w:t>пункту 5 статьи 145</w:t>
        </w:r>
      </w:hyperlink>
      <w:r>
        <w:t xml:space="preserve"> Кодекса если доходы налогоплательщика УСН за 2024 год превысили 60 млн рублей, то с 01.01.2025 налогоп</w:t>
      </w:r>
      <w:r>
        <w:t>лательщик УСН обязан исчислять и уплачивать НДС в бюджет.</w:t>
      </w:r>
    </w:p>
    <w:p w:rsidR="00000000" w:rsidRDefault="00545952">
      <w:pPr>
        <w:pStyle w:val="ConsPlusNormal"/>
        <w:spacing w:before="240"/>
        <w:ind w:firstLine="540"/>
        <w:jc w:val="both"/>
      </w:pPr>
      <w:r>
        <w:t>При этом такой налогоплательщик УСН, утративший право на освобождение от уплаты НДС, вправе выбрать исчисление НДС по общеустановленным налоговым ставкам в размере 20%, 10% и 0%, либо по специальным</w:t>
      </w:r>
      <w:r>
        <w:t xml:space="preserve"> налоговым ставкам в размере 5%, 7% и 0% по отдельным операциям, указанным в </w:t>
      </w:r>
      <w:hyperlink r:id="rId11" w:tooltip="&quot;Налоговый кодекс Российской Федерации (часть вторая)&quot; от 05.08.2000 N 117-ФЗ (ред. от 12.12.2024)------------ Редакция с изменениями, не вступившими в силу{КонсультантПлюс}" w:history="1">
        <w:r>
          <w:rPr>
            <w:color w:val="0000FF"/>
          </w:rPr>
          <w:t>подпунктах 1</w:t>
        </w:r>
      </w:hyperlink>
      <w:r>
        <w:t xml:space="preserve"> - </w:t>
      </w:r>
      <w:hyperlink r:id="rId12" w:tooltip="&quot;Налоговый кодекс Российской Федерации (часть вторая)&quot; от 05.08.2000 N 117-ФЗ (ред. от 12.12.2024)------------ Редакция с изменениями, не вступившими в силу{КонсультантПлюс}" w:history="1">
        <w:r>
          <w:rPr>
            <w:color w:val="0000FF"/>
          </w:rPr>
          <w:t>1.2</w:t>
        </w:r>
      </w:hyperlink>
      <w:r>
        <w:t xml:space="preserve">, </w:t>
      </w:r>
      <w:hyperlink r:id="rId13" w:tooltip="&quot;Налоговый кодекс Российской Федерации (часть вторая)&quot; от 05.08.2000 N 117-ФЗ (ред. от 12.12.2024)------------ Редакция с изменениями, не вступившими в силу{КонсультантПлюс}" w:history="1">
        <w:r>
          <w:rPr>
            <w:color w:val="0000FF"/>
          </w:rPr>
          <w:t>2.1</w:t>
        </w:r>
      </w:hyperlink>
      <w:r>
        <w:t xml:space="preserve"> - </w:t>
      </w:r>
      <w:hyperlink r:id="rId14" w:tooltip="&quot;Налоговый кодекс Российской Федерации (часть вторая)&quot; от 05.08.2000 N 117-ФЗ (ред. от 12.12.2024)------------ Редакция с изменениями, не вступившими в силу{КонсультантПлюс}" w:history="1">
        <w:r>
          <w:rPr>
            <w:color w:val="0000FF"/>
          </w:rPr>
          <w:t>3.1</w:t>
        </w:r>
      </w:hyperlink>
      <w:r>
        <w:t xml:space="preserve">, </w:t>
      </w:r>
      <w:hyperlink r:id="rId15" w:tooltip="&quot;Налоговый кодекс Российской Федерации (часть вторая)&quot; от 05.08.2000 N 117-ФЗ (ред. от 12.12.2024)------------ Редакция с изменениями, не вступившими в силу{КонсультантПлюс}" w:history="1">
        <w:r>
          <w:rPr>
            <w:color w:val="0000FF"/>
          </w:rPr>
          <w:t>7</w:t>
        </w:r>
      </w:hyperlink>
      <w:r>
        <w:t xml:space="preserve"> и </w:t>
      </w:r>
      <w:hyperlink r:id="rId16" w:tooltip="&quot;Налоговый кодекс Российской Федерации (часть вторая)&quot; от 05.08.2000 N 117-ФЗ (ред. от 12.12.2024)------------ Редакция с изменениями, не вступившими в силу{КонсультантПлюс}" w:history="1">
        <w:r>
          <w:rPr>
            <w:color w:val="0000FF"/>
          </w:rPr>
          <w:t>11 пункта 1 статьи 164</w:t>
        </w:r>
      </w:hyperlink>
      <w:r>
        <w:t xml:space="preserve"> Кодекса (</w:t>
      </w:r>
      <w:hyperlink r:id="rId17" w:tooltip="&quot;Налоговый кодекс Российской Федерации (часть вторая)&quot; от 05.08.2000 N 117-ФЗ (ред. от 12.12.2024)------------ Редакция с изменениями, не вступившими в силу{КонсультантПлюс}" w:history="1">
        <w:r>
          <w:rPr>
            <w:color w:val="0000FF"/>
          </w:rPr>
          <w:t>пункт 9 статьи 164</w:t>
        </w:r>
      </w:hyperlink>
      <w:r>
        <w:t xml:space="preserve"> Кодекса).</w:t>
      </w:r>
    </w:p>
    <w:p w:rsidR="00000000" w:rsidRDefault="00545952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 w:rsidRPr="005459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545952" w:rsidRDefault="00545952">
            <w:pPr>
              <w:pStyle w:val="ConsPlusNormal"/>
              <w:rPr>
                <w:rFonts w:eastAsiaTheme="minorEastAsia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545952" w:rsidRDefault="00545952">
            <w:pPr>
              <w:pStyle w:val="ConsPlusNormal"/>
              <w:rPr>
                <w:rFonts w:eastAsiaTheme="minorEastAsia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Pr="00545952" w:rsidRDefault="00545952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  <w:r w:rsidRPr="00545952">
              <w:rPr>
                <w:rFonts w:eastAsiaTheme="minorEastAsia"/>
                <w:color w:val="392C69"/>
              </w:rPr>
              <w:t>КонсультантПлюс: примеча</w:t>
            </w:r>
            <w:r w:rsidRPr="00545952">
              <w:rPr>
                <w:rFonts w:eastAsiaTheme="minorEastAsia"/>
                <w:color w:val="392C69"/>
              </w:rPr>
              <w:t>ние.</w:t>
            </w:r>
          </w:p>
          <w:p w:rsidR="00000000" w:rsidRPr="00545952" w:rsidRDefault="00545952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  <w:r w:rsidRPr="00545952">
              <w:rPr>
                <w:rFonts w:eastAsiaTheme="minorEastAsia"/>
                <w:color w:val="392C69"/>
              </w:rPr>
              <w:t xml:space="preserve">В тексте документа, видимо, допущена опечатка: имеются в виду </w:t>
            </w:r>
            <w:hyperlink r:id="rId18" w:tooltip="&quot;Налоговый кодекс Российской Федерации (часть вторая)&quot; от 05.08.2000 N 117-ФЗ (ред. от 12.12.2024)------------ Редакция с изменениями, не вступившими в силу{КонсультантПлюс}" w:history="1">
              <w:r w:rsidRPr="00545952">
                <w:rPr>
                  <w:rFonts w:eastAsiaTheme="minorEastAsia"/>
                  <w:color w:val="0000FF"/>
                </w:rPr>
                <w:t>подпункты 18</w:t>
              </w:r>
            </w:hyperlink>
            <w:r w:rsidRPr="00545952">
              <w:rPr>
                <w:rFonts w:eastAsiaTheme="minorEastAsia"/>
                <w:color w:val="392C69"/>
              </w:rPr>
              <w:t xml:space="preserve"> и </w:t>
            </w:r>
            <w:hyperlink r:id="rId19" w:tooltip="&quot;Налоговый кодекс Российской Федерации (часть вторая)&quot; от 05.08.2000 N 117-ФЗ (ред. от 12.12.2024)------------ Редакция с изменениями, не вступившими в силу{КонсультантПлюс}" w:history="1">
              <w:r w:rsidRPr="00545952">
                <w:rPr>
                  <w:rFonts w:eastAsiaTheme="minorEastAsia"/>
                  <w:color w:val="0000FF"/>
                </w:rPr>
                <w:t>19 пункта 1 статьи 164</w:t>
              </w:r>
            </w:hyperlink>
            <w:r w:rsidRPr="00545952">
              <w:rPr>
                <w:rFonts w:eastAsiaTheme="minorEastAsia"/>
                <w:color w:val="392C69"/>
              </w:rPr>
              <w:t xml:space="preserve"> НК РФ, а не подпункты 18 и 19 пункта 2.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545952" w:rsidRDefault="00545952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</w:p>
        </w:tc>
      </w:tr>
    </w:tbl>
    <w:p w:rsidR="00000000" w:rsidRDefault="00545952">
      <w:pPr>
        <w:pStyle w:val="ConsPlusNormal"/>
        <w:spacing w:before="300"/>
        <w:ind w:firstLine="540"/>
        <w:jc w:val="both"/>
      </w:pPr>
      <w:r>
        <w:t xml:space="preserve">В то же время на основании подпунктов 18 и 19 пункта 2 статьи 164 Кодекса налогообложение операций по реализации на территории Российской Федерации услуг по предоставлению в аренду или пользование на ином праве объектов туристской индустрии, а также </w:t>
      </w:r>
      <w:r>
        <w:lastRenderedPageBreak/>
        <w:t xml:space="preserve">услуг </w:t>
      </w:r>
      <w:r>
        <w:t>по предоставлению мест для временного проживания в гостиницах и иных средствах размещения осуществляется по налоговой ставке НДС в размере 0%.</w:t>
      </w:r>
    </w:p>
    <w:p w:rsidR="00000000" w:rsidRDefault="00545952">
      <w:pPr>
        <w:pStyle w:val="ConsPlusNormal"/>
        <w:spacing w:before="240"/>
        <w:ind w:firstLine="540"/>
        <w:jc w:val="both"/>
      </w:pPr>
      <w:r>
        <w:t>С учетом вышеизложенного гостиницы, применяющие УСН, с 01.01.2025 вправе применить налоговую ставку НДС в размере</w:t>
      </w:r>
      <w:r>
        <w:t xml:space="preserve"> 0% по услугам, указанным в подпунктах 18 и 19 пункта 2 статьи 164 Кодекса, в случае если такие налогоплательщики выбрали исчисление НДС с 01.01.2025 по общеустановленной налоговой ставке в размере 20%.</w:t>
      </w:r>
    </w:p>
    <w:p w:rsidR="00000000" w:rsidRDefault="00545952">
      <w:pPr>
        <w:pStyle w:val="ConsPlusNormal"/>
        <w:spacing w:before="240"/>
        <w:ind w:firstLine="540"/>
        <w:jc w:val="both"/>
      </w:pPr>
      <w:r>
        <w:t>При этом если гостиницы, применяющие УСН, в налоговой</w:t>
      </w:r>
      <w:r>
        <w:t xml:space="preserve"> декларации по НДС заявляют только операции по реализации вышеуказанных услуг, облагаемые по налоговой ставке НДС в размере 0%, то считается, что налогоплательщик УСН с 01.01.2025 выбрал применение общеустановленной налоговой ставки в размере 20%.</w:t>
      </w:r>
    </w:p>
    <w:p w:rsidR="00000000" w:rsidRDefault="00545952">
      <w:pPr>
        <w:pStyle w:val="ConsPlusNormal"/>
        <w:spacing w:before="240"/>
        <w:ind w:firstLine="540"/>
        <w:jc w:val="both"/>
      </w:pPr>
      <w:r>
        <w:t>Одноврем</w:t>
      </w:r>
      <w:r>
        <w:t xml:space="preserve">енно обращаем внимание, что согласно </w:t>
      </w:r>
      <w:hyperlink r:id="rId20" w:tooltip="Постановление Правительства РФ от 30.06.2004 N 329 (ред. от 09.11.2023) &quot;О Министерстве финансов Российской Федерации&quot; (с изм. и доп., вступ. в силу с 01.03.2024)------------ Недействующая редакция{КонсультантПлюс}" w:history="1">
        <w:r>
          <w:rPr>
            <w:color w:val="0000FF"/>
          </w:rPr>
          <w:t>пункту 1</w:t>
        </w:r>
      </w:hyperlink>
      <w:r>
        <w:t xml:space="preserve"> Положения о Министерстве финансов Российской Федерации, утвержденного постановлением Правительства Российской Федерации от 30.06.</w:t>
      </w:r>
      <w:r>
        <w:t>2004 N 329, уполномоченным федеральным органом исполнительной власти, осуществляющим функции по нормативно-правовому регулированию в сфере налоговой деятельности, является Минфин России. В этой связи по вопросам внесения изменений в законодательство о нало</w:t>
      </w:r>
      <w:r>
        <w:t>гах и сборах рекомендуется обращаться в Минфин России.</w:t>
      </w:r>
    </w:p>
    <w:p w:rsidR="00000000" w:rsidRDefault="00545952">
      <w:pPr>
        <w:pStyle w:val="ConsPlusNormal"/>
        <w:jc w:val="both"/>
      </w:pPr>
    </w:p>
    <w:p w:rsidR="00000000" w:rsidRDefault="00545952">
      <w:pPr>
        <w:pStyle w:val="ConsPlusNormal"/>
        <w:jc w:val="right"/>
      </w:pPr>
      <w:r>
        <w:t>Начальник Управления</w:t>
      </w:r>
    </w:p>
    <w:p w:rsidR="00000000" w:rsidRDefault="00545952">
      <w:pPr>
        <w:pStyle w:val="ConsPlusNormal"/>
        <w:jc w:val="right"/>
      </w:pPr>
      <w:r>
        <w:t>налогообложения юридических лиц</w:t>
      </w:r>
    </w:p>
    <w:p w:rsidR="00000000" w:rsidRDefault="00545952">
      <w:pPr>
        <w:pStyle w:val="ConsPlusNormal"/>
        <w:jc w:val="right"/>
      </w:pPr>
      <w:r>
        <w:t>М.В.БАКЧЕЕВА</w:t>
      </w:r>
    </w:p>
    <w:p w:rsidR="00000000" w:rsidRDefault="00545952">
      <w:pPr>
        <w:pStyle w:val="ConsPlusNormal"/>
      </w:pPr>
      <w:r>
        <w:t>31.10.2024</w:t>
      </w:r>
    </w:p>
    <w:p w:rsidR="00000000" w:rsidRDefault="00545952">
      <w:pPr>
        <w:pStyle w:val="ConsPlusNormal"/>
        <w:jc w:val="both"/>
      </w:pPr>
    </w:p>
    <w:p w:rsidR="00000000" w:rsidRDefault="00545952">
      <w:pPr>
        <w:pStyle w:val="ConsPlusNormal"/>
        <w:jc w:val="both"/>
      </w:pPr>
    </w:p>
    <w:p w:rsidR="00545952" w:rsidRDefault="0054595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545952">
      <w:headerReference w:type="default" r:id="rId21"/>
      <w:footerReference w:type="default" r:id="rId22"/>
      <w:headerReference w:type="first" r:id="rId23"/>
      <w:footerReference w:type="first" r:id="rId24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952" w:rsidRDefault="00545952">
      <w:pPr>
        <w:spacing w:after="0" w:line="240" w:lineRule="auto"/>
      </w:pPr>
      <w:r>
        <w:separator/>
      </w:r>
    </w:p>
  </w:endnote>
  <w:endnote w:type="continuationSeparator" w:id="0">
    <w:p w:rsidR="00545952" w:rsidRDefault="00545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45952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 w:rsidRPr="00545952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545952" w:rsidRDefault="00545952">
          <w:pPr>
            <w:pStyle w:val="ConsPlusNormal"/>
            <w:rPr>
              <w:rFonts w:ascii="Tahoma" w:eastAsiaTheme="minorEastAsia" w:hAnsi="Tahoma" w:cs="Tahoma"/>
              <w:b/>
              <w:bCs/>
              <w:color w:val="F58220"/>
              <w:sz w:val="28"/>
              <w:szCs w:val="28"/>
            </w:rPr>
          </w:pPr>
          <w:r w:rsidRPr="00545952">
            <w:rPr>
              <w:rFonts w:ascii="Tahoma" w:eastAsiaTheme="minorEastAsi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 w:rsidRPr="00545952">
            <w:rPr>
              <w:rFonts w:ascii="Tahoma" w:eastAsiaTheme="minorEastAsi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545952" w:rsidRDefault="00545952">
          <w:pPr>
            <w:pStyle w:val="ConsPlusNormal"/>
            <w:jc w:val="center"/>
            <w:rPr>
              <w:rFonts w:ascii="Tahoma" w:eastAsiaTheme="minorEastAsia" w:hAnsi="Tahoma" w:cs="Tahoma"/>
              <w:b/>
              <w:bCs/>
              <w:sz w:val="20"/>
              <w:szCs w:val="20"/>
            </w:rPr>
          </w:pPr>
          <w:hyperlink r:id="rId1" w:history="1">
            <w:r w:rsidRPr="00545952">
              <w:rPr>
                <w:rFonts w:ascii="Tahoma" w:eastAsiaTheme="minorEastAsi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545952" w:rsidRDefault="00545952">
          <w:pPr>
            <w:pStyle w:val="ConsPlusNormal"/>
            <w:jc w:val="right"/>
            <w:rPr>
              <w:rFonts w:ascii="Tahoma" w:eastAsiaTheme="minorEastAsia" w:hAnsi="Tahoma" w:cs="Tahoma"/>
              <w:sz w:val="20"/>
              <w:szCs w:val="20"/>
            </w:rPr>
          </w:pPr>
          <w:r w:rsidRPr="00545952">
            <w:rPr>
              <w:rFonts w:ascii="Tahoma" w:eastAsiaTheme="minorEastAsia" w:hAnsi="Tahoma" w:cs="Tahoma"/>
              <w:sz w:val="20"/>
              <w:szCs w:val="20"/>
            </w:rPr>
            <w:t xml:space="preserve">Страница </w:t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instrText>\PAGE</w:instrText>
          </w:r>
          <w:r w:rsidR="00BC2159" w:rsidRPr="00545952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 w:rsidR="00BC2159" w:rsidRPr="00545952">
            <w:rPr>
              <w:rFonts w:ascii="Tahoma" w:eastAsiaTheme="minorEastAsia" w:hAnsi="Tahoma" w:cs="Tahoma"/>
              <w:noProof/>
              <w:sz w:val="20"/>
              <w:szCs w:val="20"/>
            </w:rPr>
            <w:t>2</w:t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t xml:space="preserve"> из </w:t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instrText>\NUMPAGES</w:instrText>
          </w:r>
          <w:r w:rsidR="00BC2159" w:rsidRPr="00545952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 w:rsidR="00BC2159" w:rsidRPr="00545952">
            <w:rPr>
              <w:rFonts w:ascii="Tahoma" w:eastAsiaTheme="minorEastAsia" w:hAnsi="Tahoma" w:cs="Tahoma"/>
              <w:noProof/>
              <w:sz w:val="20"/>
              <w:szCs w:val="20"/>
            </w:rPr>
            <w:t>2</w:t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545952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45952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 w:rsidRPr="00545952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545952" w:rsidRDefault="00545952">
          <w:pPr>
            <w:pStyle w:val="ConsPlusNormal"/>
            <w:rPr>
              <w:rFonts w:ascii="Tahoma" w:eastAsiaTheme="minorEastAsia" w:hAnsi="Tahoma" w:cs="Tahoma"/>
              <w:b/>
              <w:bCs/>
              <w:color w:val="F58220"/>
              <w:sz w:val="28"/>
              <w:szCs w:val="28"/>
            </w:rPr>
          </w:pPr>
          <w:r w:rsidRPr="00545952">
            <w:rPr>
              <w:rFonts w:ascii="Tahoma" w:eastAsiaTheme="minorEastAsi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 w:rsidRPr="00545952">
            <w:rPr>
              <w:rFonts w:ascii="Tahoma" w:eastAsiaTheme="minorEastAsi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545952" w:rsidRDefault="00545952">
          <w:pPr>
            <w:pStyle w:val="ConsPlusNormal"/>
            <w:jc w:val="center"/>
            <w:rPr>
              <w:rFonts w:ascii="Tahoma" w:eastAsiaTheme="minorEastAsia" w:hAnsi="Tahoma" w:cs="Tahoma"/>
              <w:b/>
              <w:bCs/>
              <w:sz w:val="20"/>
              <w:szCs w:val="20"/>
            </w:rPr>
          </w:pPr>
          <w:hyperlink r:id="rId1" w:history="1">
            <w:r w:rsidRPr="00545952">
              <w:rPr>
                <w:rFonts w:ascii="Tahoma" w:eastAsiaTheme="minorEastAsi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545952" w:rsidRDefault="00545952">
          <w:pPr>
            <w:pStyle w:val="ConsPlusNormal"/>
            <w:jc w:val="right"/>
            <w:rPr>
              <w:rFonts w:ascii="Tahoma" w:eastAsiaTheme="minorEastAsia" w:hAnsi="Tahoma" w:cs="Tahoma"/>
              <w:sz w:val="20"/>
              <w:szCs w:val="20"/>
            </w:rPr>
          </w:pPr>
          <w:r w:rsidRPr="00545952">
            <w:rPr>
              <w:rFonts w:ascii="Tahoma" w:eastAsiaTheme="minorEastAsia" w:hAnsi="Tahoma" w:cs="Tahoma"/>
              <w:sz w:val="20"/>
              <w:szCs w:val="20"/>
            </w:rPr>
            <w:t xml:space="preserve">Страница </w:t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instrText>\PAGE</w:instrText>
          </w:r>
          <w:r w:rsidR="00BC2159" w:rsidRPr="00545952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 w:rsidR="00BC2159" w:rsidRPr="00545952">
            <w:rPr>
              <w:rFonts w:ascii="Tahoma" w:eastAsiaTheme="minorEastAsia" w:hAnsi="Tahoma" w:cs="Tahoma"/>
              <w:noProof/>
              <w:sz w:val="20"/>
              <w:szCs w:val="20"/>
            </w:rPr>
            <w:t>1</w:t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t xml:space="preserve"> из </w:t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instrText>\NUMPAGES</w:instrText>
          </w:r>
          <w:r w:rsidR="00BC2159" w:rsidRPr="00545952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 w:rsidR="00BC2159" w:rsidRPr="00545952">
            <w:rPr>
              <w:rFonts w:ascii="Tahoma" w:eastAsiaTheme="minorEastAsia" w:hAnsi="Tahoma" w:cs="Tahoma"/>
              <w:noProof/>
              <w:sz w:val="20"/>
              <w:szCs w:val="20"/>
            </w:rPr>
            <w:t>1</w:t>
          </w:r>
          <w:r w:rsidRPr="00545952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545952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952" w:rsidRDefault="00545952">
      <w:pPr>
        <w:spacing w:after="0" w:line="240" w:lineRule="auto"/>
      </w:pPr>
      <w:r>
        <w:separator/>
      </w:r>
    </w:p>
  </w:footnote>
  <w:footnote w:type="continuationSeparator" w:id="0">
    <w:p w:rsidR="00545952" w:rsidRDefault="00545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 w:rsidRPr="00545952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545952" w:rsidRDefault="00545952">
          <w:pPr>
            <w:pStyle w:val="ConsPlusNormal"/>
            <w:rPr>
              <w:rFonts w:ascii="Tahoma" w:eastAsiaTheme="minorEastAsia" w:hAnsi="Tahoma" w:cs="Tahoma"/>
              <w:sz w:val="16"/>
              <w:szCs w:val="16"/>
            </w:rPr>
          </w:pPr>
          <w:r w:rsidRPr="00545952">
            <w:rPr>
              <w:rFonts w:ascii="Tahoma" w:eastAsiaTheme="minorEastAsia" w:hAnsi="Tahoma" w:cs="Tahoma"/>
              <w:sz w:val="16"/>
              <w:szCs w:val="16"/>
            </w:rPr>
            <w:t>Вопрос: О применении нулевой ставки НДС гостиницами, применяющими УСН, с 01.01.2025.</w:t>
          </w:r>
          <w:r w:rsidRPr="00545952">
            <w:rPr>
              <w:rFonts w:ascii="Tahoma" w:eastAsiaTheme="minorEastAsia" w:hAnsi="Tahoma" w:cs="Tahoma"/>
              <w:sz w:val="16"/>
              <w:szCs w:val="16"/>
            </w:rPr>
            <w:br/>
          </w:r>
          <w:r w:rsidRPr="00545952">
            <w:rPr>
              <w:rFonts w:ascii="Tahoma" w:eastAsiaTheme="minorEastAsia" w:hAnsi="Tahoma" w:cs="Tahoma"/>
              <w:sz w:val="16"/>
              <w:szCs w:val="16"/>
            </w:rPr>
            <w:t>(Письмо ФНС России от 31.10.2024 N 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545952" w:rsidRDefault="00545952">
          <w:pPr>
            <w:pStyle w:val="ConsPlusNormal"/>
            <w:jc w:val="right"/>
            <w:rPr>
              <w:rFonts w:ascii="Tahoma" w:eastAsiaTheme="minorEastAsia" w:hAnsi="Tahoma" w:cs="Tahoma"/>
              <w:sz w:val="16"/>
              <w:szCs w:val="16"/>
            </w:rPr>
          </w:pPr>
          <w:r w:rsidRPr="00545952">
            <w:rPr>
              <w:rFonts w:ascii="Tahoma" w:eastAsiaTheme="minorEastAsi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 w:rsidRPr="00545952">
              <w:rPr>
                <w:rFonts w:ascii="Tahoma" w:eastAsiaTheme="minorEastAsi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 w:rsidRPr="00545952">
            <w:rPr>
              <w:rFonts w:ascii="Tahoma" w:eastAsiaTheme="minorEastAsia" w:hAnsi="Tahoma" w:cs="Tahoma"/>
              <w:sz w:val="18"/>
              <w:szCs w:val="18"/>
            </w:rPr>
            <w:br/>
          </w:r>
          <w:r w:rsidRPr="00545952">
            <w:rPr>
              <w:rFonts w:ascii="Tahoma" w:eastAsiaTheme="minorEastAsia" w:hAnsi="Tahoma" w:cs="Tahoma"/>
              <w:sz w:val="16"/>
              <w:szCs w:val="16"/>
            </w:rPr>
            <w:t>Дата сохранения: 16.12.2024</w:t>
          </w:r>
        </w:p>
      </w:tc>
    </w:tr>
  </w:tbl>
  <w:p w:rsidR="00000000" w:rsidRDefault="00545952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545952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 w:rsidRPr="00545952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545952" w:rsidRDefault="00695F57">
          <w:pPr>
            <w:pStyle w:val="ConsPlusNormal"/>
            <w:rPr>
              <w:rFonts w:eastAsiaTheme="minorEastAsia"/>
            </w:rPr>
          </w:pPr>
          <w:r w:rsidRPr="00545952">
            <w:rPr>
              <w:rFonts w:eastAsiaTheme="minorEastAsia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0pt;height:35.25pt">
                <v:imagedata r:id="rId1" o:title=""/>
              </v:shape>
            </w:pict>
          </w:r>
        </w:p>
        <w:p w:rsidR="00000000" w:rsidRPr="00545952" w:rsidRDefault="00545952">
          <w:pPr>
            <w:pStyle w:val="ConsPlusNormal"/>
            <w:rPr>
              <w:rFonts w:ascii="Tahoma" w:eastAsiaTheme="minorEastAsia" w:hAnsi="Tahoma" w:cs="Tahoma"/>
              <w:sz w:val="16"/>
              <w:szCs w:val="16"/>
            </w:rPr>
          </w:pPr>
          <w:r w:rsidRPr="00545952">
            <w:rPr>
              <w:rFonts w:ascii="Tahoma" w:eastAsiaTheme="minorEastAsia" w:hAnsi="Tahoma" w:cs="Tahoma"/>
              <w:sz w:val="16"/>
              <w:szCs w:val="16"/>
            </w:rPr>
            <w:t>Вопрос: О применении нулевой ставки НДС гостиницами, применяющими УСН, с 01.01.2025. (Письмо ФНС России от 31.10.2024 N 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545952" w:rsidRDefault="00545952">
          <w:pPr>
            <w:pStyle w:val="ConsPlusNormal"/>
            <w:jc w:val="right"/>
            <w:rPr>
              <w:rFonts w:ascii="Tahoma" w:eastAsiaTheme="minorEastAsia" w:hAnsi="Tahoma" w:cs="Tahoma"/>
              <w:sz w:val="16"/>
              <w:szCs w:val="16"/>
            </w:rPr>
          </w:pPr>
          <w:r w:rsidRPr="00545952">
            <w:rPr>
              <w:rFonts w:ascii="Tahoma" w:eastAsiaTheme="minorEastAsia" w:hAnsi="Tahoma" w:cs="Tahoma"/>
              <w:sz w:val="18"/>
              <w:szCs w:val="18"/>
            </w:rPr>
            <w:t xml:space="preserve">Документ предоставлен </w:t>
          </w:r>
          <w:hyperlink r:id="rId2" w:history="1">
            <w:r w:rsidRPr="00545952">
              <w:rPr>
                <w:rFonts w:ascii="Tahoma" w:eastAsiaTheme="minorEastAsi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 w:rsidRPr="00545952">
            <w:rPr>
              <w:rFonts w:ascii="Tahoma" w:eastAsiaTheme="minorEastAsia" w:hAnsi="Tahoma" w:cs="Tahoma"/>
              <w:sz w:val="18"/>
              <w:szCs w:val="18"/>
            </w:rPr>
            <w:br/>
          </w:r>
          <w:r w:rsidRPr="00545952">
            <w:rPr>
              <w:rFonts w:ascii="Tahoma" w:eastAsiaTheme="minorEastAsia" w:hAnsi="Tahoma" w:cs="Tahoma"/>
              <w:sz w:val="16"/>
              <w:szCs w:val="16"/>
            </w:rPr>
            <w:t>Дата сохранения: 16</w:t>
          </w:r>
          <w:r w:rsidRPr="00545952">
            <w:rPr>
              <w:rFonts w:ascii="Tahoma" w:eastAsiaTheme="minorEastAsia" w:hAnsi="Tahoma" w:cs="Tahoma"/>
              <w:sz w:val="16"/>
              <w:szCs w:val="16"/>
            </w:rPr>
            <w:t>.12.2024</w:t>
          </w:r>
        </w:p>
      </w:tc>
    </w:tr>
  </w:tbl>
  <w:p w:rsidR="00000000" w:rsidRDefault="00545952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545952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2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5F57"/>
    <w:rsid w:val="00545952"/>
    <w:rsid w:val="00695F57"/>
    <w:rsid w:val="00BC2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6890&amp;date=16.12.2024&amp;dst=103572&amp;field=134&amp;demo=2" TargetMode="External"/><Relationship Id="rId13" Type="http://schemas.openxmlformats.org/officeDocument/2006/relationships/hyperlink" Target="https://login.consultant.ru/link/?req=doc&amp;base=LAW&amp;n=466890&amp;date=16.12.2024&amp;dst=6028&amp;field=134&amp;demo=2" TargetMode="External"/><Relationship Id="rId18" Type="http://schemas.openxmlformats.org/officeDocument/2006/relationships/hyperlink" Target="https://login.consultant.ru/link/?req=doc&amp;base=LAW&amp;n=466890&amp;date=16.12.2024&amp;dst=21603&amp;field=134&amp;demo=2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login.consultant.ru/link/?req=doc&amp;base=LAW&amp;n=466890&amp;date=16.12.2024&amp;dst=100008&amp;field=134&amp;demo=2" TargetMode="External"/><Relationship Id="rId12" Type="http://schemas.openxmlformats.org/officeDocument/2006/relationships/hyperlink" Target="https://login.consultant.ru/link/?req=doc&amp;base=LAW&amp;n=466890&amp;date=16.12.2024&amp;dst=25335&amp;field=134&amp;demo=2" TargetMode="External"/><Relationship Id="rId17" Type="http://schemas.openxmlformats.org/officeDocument/2006/relationships/hyperlink" Target="https://login.consultant.ru/link/?req=doc&amp;base=LAW&amp;n=466890&amp;date=16.12.2024&amp;dst=25769&amp;field=134&amp;demo=2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66890&amp;date=16.12.2024&amp;dst=6858&amp;field=134&amp;demo=2" TargetMode="External"/><Relationship Id="rId20" Type="http://schemas.openxmlformats.org/officeDocument/2006/relationships/hyperlink" Target="https://login.consultant.ru/link/?req=doc&amp;base=LAW&amp;n=461745&amp;date=16.12.2024&amp;dst=223&amp;field=134&amp;demo=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9354&amp;date=16.12.2024&amp;dst=100018&amp;field=134&amp;demo=2" TargetMode="External"/><Relationship Id="rId11" Type="http://schemas.openxmlformats.org/officeDocument/2006/relationships/hyperlink" Target="https://login.consultant.ru/link/?req=doc&amp;base=LAW&amp;n=466890&amp;date=16.12.2024&amp;dst=14535&amp;field=134&amp;demo=2" TargetMode="External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66890&amp;date=16.12.2024&amp;dst=100307&amp;field=134&amp;demo=2" TargetMode="External"/><Relationship Id="rId23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466890&amp;date=16.12.2024&amp;dst=26846&amp;field=134&amp;demo=2" TargetMode="External"/><Relationship Id="rId19" Type="http://schemas.openxmlformats.org/officeDocument/2006/relationships/hyperlink" Target="https://login.consultant.ru/link/?req=doc&amp;base=LAW&amp;n=466890&amp;date=16.12.2024&amp;dst=21605&amp;field=134&amp;demo=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66890&amp;date=16.12.2024&amp;dst=25734&amp;field=134&amp;demo=2" TargetMode="External"/><Relationship Id="rId14" Type="http://schemas.openxmlformats.org/officeDocument/2006/relationships/hyperlink" Target="https://login.consultant.ru/link/?req=doc&amp;base=LAW&amp;n=466890&amp;date=16.12.2024&amp;dst=6851&amp;field=134&amp;demo=2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1230</Words>
  <Characters>7011</Characters>
  <Application>Microsoft Office Word</Application>
  <DocSecurity>2</DocSecurity>
  <Lines>58</Lines>
  <Paragraphs>16</Paragraphs>
  <ScaleCrop>false</ScaleCrop>
  <Company>КонсультантПлюс Версия 4024.00.30</Company>
  <LinksUpToDate>false</LinksUpToDate>
  <CharactersWithSpaces>8225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 О применении нулевой ставки НДС гостиницами, применяющими УСН, с 01.01.2025.(Письмо ФНС России от 31.10.2024 N ЗГ-2-3/16118@)</dc:title>
  <dc:creator>Пользователь Windows</dc:creator>
  <cp:lastModifiedBy>Пользователь Windows</cp:lastModifiedBy>
  <cp:revision>2</cp:revision>
  <dcterms:created xsi:type="dcterms:W3CDTF">2024-12-16T15:54:00Z</dcterms:created>
  <dcterms:modified xsi:type="dcterms:W3CDTF">2024-12-16T15:54:00Z</dcterms:modified>
</cp:coreProperties>
</file>