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9391F">
      <w:pPr>
        <w:pStyle w:val="ConsPlusTitle"/>
        <w:jc w:val="center"/>
      </w:pPr>
      <w:r>
        <w:t>ФЕДЕРАЛЬНАЯ НАЛОГОВАЯ СЛУЖБА</w:t>
      </w:r>
    </w:p>
    <w:p w:rsidR="00000000" w:rsidRDefault="00C9391F">
      <w:pPr>
        <w:pStyle w:val="ConsPlusTitle"/>
        <w:jc w:val="center"/>
      </w:pPr>
    </w:p>
    <w:p w:rsidR="00000000" w:rsidRDefault="00C9391F">
      <w:pPr>
        <w:pStyle w:val="ConsPlusTitle"/>
        <w:jc w:val="center"/>
      </w:pPr>
      <w:r>
        <w:t>ПИСЬМО</w:t>
      </w:r>
    </w:p>
    <w:p w:rsidR="00000000" w:rsidRDefault="00C9391F">
      <w:pPr>
        <w:pStyle w:val="ConsPlusTitle"/>
        <w:jc w:val="center"/>
      </w:pPr>
      <w:r>
        <w:t>от 6 июня 2024 г. N ЕА-4-3/6295@</w:t>
      </w:r>
    </w:p>
    <w:p w:rsidR="00000000" w:rsidRDefault="00C9391F">
      <w:pPr>
        <w:pStyle w:val="ConsPlusTitle"/>
        <w:jc w:val="center"/>
      </w:pPr>
    </w:p>
    <w:p w:rsidR="00000000" w:rsidRDefault="00C9391F">
      <w:pPr>
        <w:pStyle w:val="ConsPlusTitle"/>
        <w:jc w:val="center"/>
      </w:pPr>
      <w:r>
        <w:t>О ПОРЯДКЕ</w:t>
      </w:r>
    </w:p>
    <w:p w:rsidR="00000000" w:rsidRDefault="00C9391F">
      <w:pPr>
        <w:pStyle w:val="ConsPlusTitle"/>
        <w:jc w:val="center"/>
      </w:pPr>
      <w:r>
        <w:t>ПРИМЕНЕНИЯ НАЛОГА НА ДОБАВЛЕННУЮ СТОИМОСТЬ ПРИ РЕАЛИЗАЦИИ</w:t>
      </w:r>
    </w:p>
    <w:p w:rsidR="00000000" w:rsidRDefault="00C9391F">
      <w:pPr>
        <w:pStyle w:val="ConsPlusTitle"/>
        <w:jc w:val="center"/>
      </w:pPr>
      <w:r>
        <w:t>ТРАНСПОРТНЫХ СРЕДСТВ, ПРИОБРЕТЕННЫХ У ФИЗИЧЕСКИХ ЛИЦ</w:t>
      </w:r>
    </w:p>
    <w:p w:rsidR="00000000" w:rsidRDefault="00C9391F">
      <w:pPr>
        <w:pStyle w:val="ConsPlusNormal"/>
        <w:ind w:firstLine="540"/>
        <w:jc w:val="both"/>
      </w:pPr>
    </w:p>
    <w:p w:rsidR="00000000" w:rsidRDefault="00C9391F">
      <w:pPr>
        <w:pStyle w:val="ConsPlusNormal"/>
        <w:ind w:firstLine="540"/>
        <w:jc w:val="both"/>
      </w:pPr>
      <w:r>
        <w:t xml:space="preserve">Федеральная налоговая служба в связи с изменениями, внесенными в </w:t>
      </w:r>
      <w:hyperlink r:id="rId6" w:history="1">
        <w:r>
          <w:rPr>
            <w:color w:val="0000FF"/>
          </w:rPr>
          <w:t>статью 154</w:t>
        </w:r>
      </w:hyperlink>
      <w:r>
        <w:t xml:space="preserve"> Налогового кодекса Российской Федерации (далее - Кодекс) Федера</w:t>
      </w:r>
      <w:r>
        <w:t xml:space="preserve">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19.12.2023 N 612-ФЗ "О внесении изменений в часть вторую Налогового кодекса Российской Федерации" (далее - Федеральный зак</w:t>
      </w:r>
      <w:r>
        <w:t>он N 612-ФЗ), а также запросами налогоплательщиков сообщает следующее.</w:t>
      </w:r>
    </w:p>
    <w:p w:rsidR="00000000" w:rsidRDefault="00C9391F">
      <w:pPr>
        <w:pStyle w:val="ConsPlusNormal"/>
        <w:spacing w:before="240"/>
        <w:ind w:firstLine="540"/>
        <w:jc w:val="both"/>
      </w:pPr>
      <w:proofErr w:type="gramStart"/>
      <w:r>
        <w:t xml:space="preserve">Согласно </w:t>
      </w:r>
      <w:hyperlink r:id="rId8" w:history="1">
        <w:r>
          <w:rPr>
            <w:color w:val="0000FF"/>
          </w:rPr>
          <w:t>пункту 5.1 статьи 154</w:t>
        </w:r>
      </w:hyperlink>
      <w:r>
        <w:t xml:space="preserve"> Кодекса (в редакции Федерального закон</w:t>
      </w:r>
      <w:r>
        <w:t xml:space="preserve">а N 612-ФЗ) при реализации приобретенных у физических лиц (не являющихся налогоплательщиками) для перепродажи автомобилей и мотоциклов налоговая база определяется как разница между ценой реализации, определяемой в соответствии со </w:t>
      </w:r>
      <w:hyperlink r:id="rId9" w:history="1">
        <w:r>
          <w:rPr>
            <w:color w:val="0000FF"/>
          </w:rPr>
          <w:t>статьей 105.3</w:t>
        </w:r>
      </w:hyperlink>
      <w:r>
        <w:t xml:space="preserve"> Кодекса, с учетом налога и ценой приобретения указанных автомобилей и мотоциклов.</w:t>
      </w:r>
      <w:proofErr w:type="gramEnd"/>
      <w:r>
        <w:t xml:space="preserve"> При реализации автомобилей и мотоциклов, приобретенных у физических лиц</w:t>
      </w:r>
      <w:r>
        <w:t xml:space="preserve"> (не являющихся налогоплательщиками) для перепродажи, положения данного пункта применяются в случае, если такие физические лица являются собственниками указанных транспортных средств и на них были зарегистрированы в соответствии с законодательством Российс</w:t>
      </w:r>
      <w:r>
        <w:t>кой Федерации указанные транспортные средства.</w:t>
      </w:r>
    </w:p>
    <w:p w:rsidR="00000000" w:rsidRDefault="00C9391F">
      <w:pPr>
        <w:pStyle w:val="ConsPlusNormal"/>
        <w:spacing w:before="240"/>
        <w:ind w:firstLine="540"/>
        <w:jc w:val="both"/>
      </w:pPr>
      <w:proofErr w:type="gramStart"/>
      <w:r>
        <w:t xml:space="preserve">Таким образом, согласно вышеуказанной норме при реализации налогоплательщиком автомобилей и мотоциклов (далее - б/у транспортные средства), приобретенных у физических лиц, нормы </w:t>
      </w:r>
      <w:hyperlink r:id="rId10" w:history="1">
        <w:r>
          <w:rPr>
            <w:color w:val="0000FF"/>
          </w:rPr>
          <w:t>пункта 5.1 статьи 154</w:t>
        </w:r>
      </w:hyperlink>
      <w:r>
        <w:t xml:space="preserve"> Кодекса применяются только при условии, если собственником б/у транспортного средства является физическое лицо (не являющееся налогоплательщиком НДС)</w:t>
      </w:r>
      <w:r>
        <w:t>, и на это физическое лицо зарегистрировано в соответствии с законодательством Российской Федерации указанное транспортное средство.</w:t>
      </w:r>
      <w:proofErr w:type="gramEnd"/>
    </w:p>
    <w:p w:rsidR="00000000" w:rsidRDefault="00C9391F">
      <w:pPr>
        <w:pStyle w:val="ConsPlusNormal"/>
        <w:spacing w:before="240"/>
        <w:ind w:firstLine="54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б/у транспортное средство не зарегистрировано в соответствии с законодательством Российской Федерации на физ</w:t>
      </w:r>
      <w:r>
        <w:t xml:space="preserve">ическое лицо - собственника транспортного средства, право собственности на которое приобретено на основании документов, указанных в </w:t>
      </w:r>
      <w:hyperlink r:id="rId11" w:history="1">
        <w:r>
          <w:rPr>
            <w:color w:val="0000FF"/>
          </w:rPr>
          <w:t>пункте 2 с</w:t>
        </w:r>
        <w:r>
          <w:rPr>
            <w:color w:val="0000FF"/>
          </w:rPr>
          <w:t>татьи 218</w:t>
        </w:r>
      </w:hyperlink>
      <w:r>
        <w:t xml:space="preserve"> ГК РФ, то начиная с 01.04.2024 при реализации такого транспортного средства налоговая база по НДС определяется в порядке, предусмотренном </w:t>
      </w:r>
      <w:hyperlink r:id="rId12" w:history="1">
        <w:r>
          <w:rPr>
            <w:color w:val="0000FF"/>
          </w:rPr>
          <w:t>пунктом 1 статьи 154</w:t>
        </w:r>
      </w:hyperlink>
      <w:r>
        <w:t xml:space="preserve"> Кодекса, независимо от даты приобретения б/у транспортного средства у физического лица (до 01.04.2024 или после этой даты). При этом данная операция подлежит налогообложению с применением налоговой ставки в размере 20 процен</w:t>
      </w:r>
      <w:r>
        <w:t>тов.</w:t>
      </w:r>
    </w:p>
    <w:p w:rsidR="00000000" w:rsidRDefault="00C9391F">
      <w:pPr>
        <w:pStyle w:val="ConsPlusNormal"/>
        <w:spacing w:before="240"/>
        <w:ind w:firstLine="540"/>
        <w:jc w:val="both"/>
      </w:pPr>
      <w:r>
        <w:t xml:space="preserve">В соответствии с </w:t>
      </w:r>
      <w:hyperlink r:id="rId13" w:history="1">
        <w:r>
          <w:rPr>
            <w:color w:val="0000FF"/>
          </w:rPr>
          <w:t>пунктом 5.2. статьи 154</w:t>
        </w:r>
      </w:hyperlink>
      <w:r>
        <w:t xml:space="preserve"> Кодекса при реализации автомобилей и мотоциклов, приобретенных налогоплательщиком для перепрод</w:t>
      </w:r>
      <w:r>
        <w:t xml:space="preserve">ажи, налоговая база определяется как разница между ценой реализации, определяемой в соответствии со </w:t>
      </w:r>
      <w:hyperlink r:id="rId14" w:history="1">
        <w:r>
          <w:rPr>
            <w:color w:val="0000FF"/>
          </w:rPr>
          <w:t>статьей 105.3</w:t>
        </w:r>
      </w:hyperlink>
      <w:r>
        <w:t xml:space="preserve"> Кодекса, с учетом налога и </w:t>
      </w:r>
      <w:r>
        <w:t>ценой приобретения соответствующего транспортного средства с учетом налога при одновременном соблюдении следующих условий:</w:t>
      </w:r>
    </w:p>
    <w:p w:rsidR="00000000" w:rsidRDefault="00C9391F">
      <w:pPr>
        <w:pStyle w:val="ConsPlusNormal"/>
        <w:spacing w:before="240"/>
        <w:ind w:firstLine="540"/>
        <w:jc w:val="both"/>
      </w:pPr>
      <w:r>
        <w:t>1) на дату приобретения налогоплательщиком автомобиля и (или) мотоцикла их продавец применяет общий режим налогообложения;</w:t>
      </w:r>
    </w:p>
    <w:p w:rsidR="00000000" w:rsidRDefault="00C9391F">
      <w:pPr>
        <w:pStyle w:val="ConsPlusNormal"/>
        <w:spacing w:before="240"/>
        <w:ind w:firstLine="540"/>
        <w:jc w:val="both"/>
      </w:pPr>
      <w:r>
        <w:t>2) последн</w:t>
      </w:r>
      <w:r>
        <w:t xml:space="preserve">им собственником автомобиля или мотоцикла, на которого было зарегистрировано в соответствии с законодательством Российской Федерации реализуемое налогоплательщиком </w:t>
      </w:r>
      <w:r>
        <w:lastRenderedPageBreak/>
        <w:t>транспортное средство, являлось физическое лицо;</w:t>
      </w:r>
    </w:p>
    <w:p w:rsidR="00000000" w:rsidRDefault="00C9391F">
      <w:pPr>
        <w:pStyle w:val="ConsPlusNormal"/>
        <w:spacing w:before="240"/>
        <w:ind w:firstLine="540"/>
        <w:jc w:val="both"/>
      </w:pPr>
      <w:r>
        <w:t>3) при приобретении автомобиля и (или) мото</w:t>
      </w:r>
      <w:r>
        <w:t xml:space="preserve">цикла налогоплательщиком получен от продавца счет-фактура с суммой налога, определенной в соответствии с данным пунктом или </w:t>
      </w:r>
      <w:hyperlink r:id="rId15" w:history="1">
        <w:r>
          <w:rPr>
            <w:color w:val="0000FF"/>
          </w:rPr>
          <w:t>пунктом 5.1</w:t>
        </w:r>
      </w:hyperlink>
      <w:r>
        <w:t xml:space="preserve"> данн</w:t>
      </w:r>
      <w:r>
        <w:t>ой статьи.</w:t>
      </w:r>
    </w:p>
    <w:p w:rsidR="00000000" w:rsidRDefault="00C9391F">
      <w:pPr>
        <w:pStyle w:val="ConsPlusNormal"/>
        <w:spacing w:before="240"/>
        <w:ind w:firstLine="540"/>
        <w:jc w:val="both"/>
      </w:pPr>
      <w:r>
        <w:t xml:space="preserve">Учитывая </w:t>
      </w:r>
      <w:proofErr w:type="gramStart"/>
      <w:r>
        <w:t>изложенное</w:t>
      </w:r>
      <w:proofErr w:type="gramEnd"/>
      <w:r>
        <w:t>, вышеуказанный порядок определения налоговой базы применяется на всех звеньях цепочки перепродаж б/у транспортных средств при одновременном выполнении вышеперечисленных условий.</w:t>
      </w:r>
    </w:p>
    <w:p w:rsidR="00000000" w:rsidRDefault="00C9391F">
      <w:pPr>
        <w:pStyle w:val="ConsPlusNormal"/>
        <w:spacing w:before="240"/>
        <w:ind w:firstLine="540"/>
        <w:jc w:val="both"/>
      </w:pPr>
      <w:r>
        <w:t>Также ФНС России отмечает, что перечень докумен</w:t>
      </w:r>
      <w:r>
        <w:t xml:space="preserve">тов, подтверждающих выполнение продавцом вышеуказанных условий при реализации б/у транспортных средств, положениями </w:t>
      </w:r>
      <w:hyperlink r:id="rId16" w:history="1">
        <w:r>
          <w:rPr>
            <w:color w:val="0000FF"/>
          </w:rPr>
          <w:t>пункта 5.2 статьи 154</w:t>
        </w:r>
      </w:hyperlink>
      <w:r>
        <w:t xml:space="preserve"> Ко</w:t>
      </w:r>
      <w:r>
        <w:t>декса не установлен.</w:t>
      </w:r>
    </w:p>
    <w:p w:rsidR="00000000" w:rsidRDefault="00C9391F">
      <w:pPr>
        <w:pStyle w:val="ConsPlusNormal"/>
        <w:spacing w:before="240"/>
        <w:ind w:firstLine="540"/>
        <w:jc w:val="both"/>
      </w:pPr>
      <w:r>
        <w:t>Однако</w:t>
      </w:r>
      <w:proofErr w:type="gramStart"/>
      <w:r>
        <w:t>,</w:t>
      </w:r>
      <w:proofErr w:type="gramEnd"/>
      <w:r>
        <w:t xml:space="preserve"> хозяйствующие субъекты </w:t>
      </w:r>
      <w:r w:rsidRPr="00761346">
        <w:rPr>
          <w:b/>
        </w:rPr>
        <w:t>вправе самостоятельно предусмотреть в договоре купли - продажи б/у транспортного средства условия о предоставлении покупателю любых документов, подтверждающих, что последним собственником, на которого был</w:t>
      </w:r>
      <w:r w:rsidRPr="00761346">
        <w:rPr>
          <w:b/>
        </w:rPr>
        <w:t>о зарегистрировано данное транспортное средство, являлось физическое лицо.</w:t>
      </w:r>
    </w:p>
    <w:p w:rsidR="00000000" w:rsidRDefault="00C9391F">
      <w:pPr>
        <w:pStyle w:val="ConsPlusNormal"/>
        <w:spacing w:before="240"/>
        <w:ind w:firstLine="540"/>
        <w:jc w:val="both"/>
      </w:pPr>
      <w:r>
        <w:t xml:space="preserve">Одновременно ФНС России сообщает, что уточненная редакция нормы </w:t>
      </w:r>
      <w:hyperlink r:id="rId17" w:history="1">
        <w:r>
          <w:rPr>
            <w:color w:val="0000FF"/>
          </w:rPr>
          <w:t>пункта 5.1</w:t>
        </w:r>
      </w:hyperlink>
      <w:r>
        <w:t xml:space="preserve"> и новая норма </w:t>
      </w:r>
      <w:hyperlink r:id="rId18" w:history="1">
        <w:r>
          <w:rPr>
            <w:color w:val="0000FF"/>
          </w:rPr>
          <w:t>пункта 5.2 статьи 154</w:t>
        </w:r>
      </w:hyperlink>
      <w:r>
        <w:t xml:space="preserve"> Кодекса вступили в силу с 1 апреля 2024 года и применяются к операциям по реализации автом</w:t>
      </w:r>
      <w:r>
        <w:t>обилей и мотоциклов, осуществляемым начиная с указанной даты (</w:t>
      </w:r>
      <w:hyperlink r:id="rId19" w:history="1">
        <w:r>
          <w:rPr>
            <w:color w:val="0000FF"/>
          </w:rPr>
          <w:t>статья 2</w:t>
        </w:r>
      </w:hyperlink>
      <w:r>
        <w:t xml:space="preserve"> Федерального закона от 19.12.2023 N 612-ФЗ).</w:t>
      </w:r>
    </w:p>
    <w:p w:rsidR="00000000" w:rsidRDefault="00C9391F">
      <w:pPr>
        <w:pStyle w:val="ConsPlusNormal"/>
        <w:spacing w:before="240"/>
        <w:ind w:firstLine="540"/>
        <w:jc w:val="both"/>
      </w:pPr>
      <w:r>
        <w:t xml:space="preserve">Согласно </w:t>
      </w:r>
      <w:hyperlink r:id="rId20" w:history="1">
        <w:r>
          <w:rPr>
            <w:color w:val="0000FF"/>
          </w:rPr>
          <w:t>пункту 3 статьи 169</w:t>
        </w:r>
      </w:hyperlink>
      <w:r>
        <w:t xml:space="preserve"> Кодекса при совершении операций, признаваемых объектом налогообложения по НДС в соответствии с </w:t>
      </w:r>
      <w:hyperlink r:id="rId21" w:history="1">
        <w:r>
          <w:rPr>
            <w:color w:val="0000FF"/>
          </w:rPr>
          <w:t>главой 21</w:t>
        </w:r>
      </w:hyperlink>
      <w:r>
        <w:t xml:space="preserve"> Кодекса, налогоплательщик обязан составить счет-фактуру, вести книги покупок и книги продаж.</w:t>
      </w:r>
    </w:p>
    <w:p w:rsidR="00000000" w:rsidRDefault="00C9391F">
      <w:pPr>
        <w:pStyle w:val="ConsPlusNormal"/>
        <w:spacing w:before="240"/>
        <w:ind w:firstLine="540"/>
        <w:jc w:val="both"/>
      </w:pPr>
      <w:proofErr w:type="gramStart"/>
      <w:r>
        <w:t xml:space="preserve">Поскольку порядок определения налоговой базы по НДС, указанный в </w:t>
      </w:r>
      <w:hyperlink r:id="rId22" w:history="1">
        <w:r>
          <w:rPr>
            <w:color w:val="0000FF"/>
          </w:rPr>
          <w:t>пункте 5.2 статьи 154</w:t>
        </w:r>
      </w:hyperlink>
      <w:r>
        <w:t xml:space="preserve"> Кодекса, аналогичен порядку, предусмотренному </w:t>
      </w:r>
      <w:hyperlink r:id="rId23" w:history="1">
        <w:r>
          <w:rPr>
            <w:color w:val="0000FF"/>
          </w:rPr>
          <w:t>пункту 5.1. статьи 154</w:t>
        </w:r>
      </w:hyperlink>
      <w:r>
        <w:t xml:space="preserve"> Кодекса, то при реализации б/у транспортных средств продавцами, указанными в </w:t>
      </w:r>
      <w:hyperlink r:id="rId24" w:history="1">
        <w:r>
          <w:rPr>
            <w:color w:val="0000FF"/>
          </w:rPr>
          <w:t>пункте 5.</w:t>
        </w:r>
        <w:r>
          <w:rPr>
            <w:color w:val="0000FF"/>
          </w:rPr>
          <w:t>2. статьи 154</w:t>
        </w:r>
      </w:hyperlink>
      <w:r>
        <w:t xml:space="preserve"> Кодекса, показатели счетов-фактур заполняются в порядке, аналогичном порядку заполнения счетов-фактур, установленному </w:t>
      </w:r>
      <w:hyperlink r:id="rId25" w:history="1">
        <w:r>
          <w:rPr>
            <w:color w:val="0000FF"/>
          </w:rPr>
          <w:t>Правила</w:t>
        </w:r>
        <w:r>
          <w:rPr>
            <w:color w:val="0000FF"/>
          </w:rPr>
          <w:t>ми</w:t>
        </w:r>
      </w:hyperlink>
      <w:r>
        <w:t xml:space="preserve"> заполнения счета-фактуры, применяемого при расчетах по налогу на добавленную стоимость (Приложение N</w:t>
      </w:r>
      <w:proofErr w:type="gramEnd"/>
      <w:r>
        <w:t xml:space="preserve"> </w:t>
      </w:r>
      <w:proofErr w:type="gramStart"/>
      <w:r>
        <w:t xml:space="preserve">1 к постановлению Правительства Российской Федерации от 26.12.2011 N 1137), в отношении </w:t>
      </w:r>
      <w:hyperlink r:id="rId26" w:history="1">
        <w:r>
          <w:rPr>
            <w:color w:val="0000FF"/>
          </w:rPr>
          <w:t>пункта 5.1 статьи 154</w:t>
        </w:r>
      </w:hyperlink>
      <w:r>
        <w:t xml:space="preserve"> Кодекса.</w:t>
      </w:r>
      <w:proofErr w:type="gramEnd"/>
    </w:p>
    <w:p w:rsidR="00000000" w:rsidRPr="00C14D27" w:rsidRDefault="00C9391F">
      <w:pPr>
        <w:pStyle w:val="ConsPlusNormal"/>
        <w:spacing w:before="240"/>
        <w:ind w:firstLine="540"/>
        <w:jc w:val="both"/>
        <w:rPr>
          <w:b/>
        </w:rPr>
      </w:pPr>
      <w:r>
        <w:t xml:space="preserve">При отражении в книге продаж показателей счетов-фактур, выставленных продавцами при перепродаже б/у транспортных средств, указанных в </w:t>
      </w:r>
      <w:hyperlink r:id="rId27" w:history="1">
        <w:r>
          <w:rPr>
            <w:color w:val="0000FF"/>
          </w:rPr>
          <w:t>пунктах 5.1</w:t>
        </w:r>
      </w:hyperlink>
      <w:r>
        <w:t xml:space="preserve"> и </w:t>
      </w:r>
      <w:hyperlink r:id="rId28" w:history="1">
        <w:r>
          <w:rPr>
            <w:color w:val="0000FF"/>
          </w:rPr>
          <w:t>5.2. статьи 154</w:t>
        </w:r>
      </w:hyperlink>
      <w:r>
        <w:t xml:space="preserve"> Кодекса, </w:t>
      </w:r>
      <w:r w:rsidRPr="00C14D27">
        <w:rPr>
          <w:b/>
        </w:rPr>
        <w:t>в графе 2 следует ука</w:t>
      </w:r>
      <w:r w:rsidRPr="00C14D27">
        <w:rPr>
          <w:b/>
        </w:rPr>
        <w:t>зать код вида операции 47.</w:t>
      </w:r>
    </w:p>
    <w:p w:rsidR="00000000" w:rsidRDefault="00C9391F">
      <w:pPr>
        <w:pStyle w:val="ConsPlusNormal"/>
        <w:spacing w:before="240"/>
        <w:ind w:firstLine="540"/>
        <w:jc w:val="both"/>
      </w:pPr>
      <w:r>
        <w:t xml:space="preserve">Согласно </w:t>
      </w:r>
      <w:hyperlink r:id="rId29" w:history="1">
        <w:r>
          <w:rPr>
            <w:color w:val="0000FF"/>
          </w:rPr>
          <w:t>подпункту 7 пункта 2 статьи 170</w:t>
        </w:r>
      </w:hyperlink>
      <w:r>
        <w:t xml:space="preserve"> Кодекса суммы налога, предъявленные покупателю при приобретении автомоби</w:t>
      </w:r>
      <w:r>
        <w:t xml:space="preserve">лей и мотоциклов, налоговая база по </w:t>
      </w:r>
      <w:proofErr w:type="gramStart"/>
      <w:r>
        <w:t>операциям</w:t>
      </w:r>
      <w:proofErr w:type="gramEnd"/>
      <w:r>
        <w:t xml:space="preserve"> реализации которых определяется в соответствии с </w:t>
      </w:r>
      <w:hyperlink r:id="rId30" w:history="1">
        <w:r>
          <w:rPr>
            <w:color w:val="0000FF"/>
          </w:rPr>
          <w:t>пунктом 5.2 статьи 154</w:t>
        </w:r>
      </w:hyperlink>
      <w:r>
        <w:t xml:space="preserve"> Кодекса, учитываются в</w:t>
      </w:r>
      <w:r>
        <w:t xml:space="preserve"> стоимости таких товаров и к вычету у покупателя на основании </w:t>
      </w:r>
      <w:hyperlink r:id="rId31" w:history="1">
        <w:r>
          <w:rPr>
            <w:color w:val="0000FF"/>
          </w:rPr>
          <w:t>подпункта 2 пункта 2 статьи 171</w:t>
        </w:r>
      </w:hyperlink>
      <w:r>
        <w:t xml:space="preserve"> Кодекса не принимаются.</w:t>
      </w:r>
    </w:p>
    <w:p w:rsidR="00000000" w:rsidRPr="00C14D27" w:rsidRDefault="00C9391F">
      <w:pPr>
        <w:pStyle w:val="ConsPlusNormal"/>
        <w:spacing w:before="240"/>
        <w:ind w:firstLine="540"/>
        <w:jc w:val="both"/>
        <w:rPr>
          <w:b/>
        </w:rPr>
      </w:pPr>
      <w:r>
        <w:t xml:space="preserve">Таким образом, </w:t>
      </w:r>
      <w:r w:rsidRPr="00C14D27">
        <w:rPr>
          <w:b/>
        </w:rPr>
        <w:t>право н</w:t>
      </w:r>
      <w:r w:rsidRPr="00C14D27">
        <w:rPr>
          <w:b/>
        </w:rPr>
        <w:t xml:space="preserve">а вычеты сумм НДС, предъявленных покупателю при приобретении б/у транспортных средств для перепродажи отсутствует, в </w:t>
      </w:r>
      <w:proofErr w:type="gramStart"/>
      <w:r w:rsidRPr="00C14D27">
        <w:rPr>
          <w:b/>
        </w:rPr>
        <w:t>связи</w:t>
      </w:r>
      <w:proofErr w:type="gramEnd"/>
      <w:r w:rsidRPr="00C14D27">
        <w:rPr>
          <w:b/>
        </w:rPr>
        <w:t xml:space="preserve"> с чем полученные счета-фактуры в книге покупок в указанном случае не регистрируются.</w:t>
      </w:r>
    </w:p>
    <w:p w:rsidR="00C14D27" w:rsidRDefault="00C9391F" w:rsidP="00C14D27">
      <w:pPr>
        <w:pStyle w:val="ConsPlusNormal"/>
        <w:spacing w:before="240"/>
        <w:ind w:firstLine="540"/>
        <w:jc w:val="both"/>
      </w:pPr>
      <w:r>
        <w:t xml:space="preserve">Доведите данное письмо до нижестоящих налоговых </w:t>
      </w:r>
      <w:r>
        <w:t>органов.</w:t>
      </w:r>
    </w:p>
    <w:p w:rsidR="00000000" w:rsidRDefault="00C9391F" w:rsidP="00C14D27">
      <w:pPr>
        <w:pStyle w:val="ConsPlusNormal"/>
        <w:spacing w:before="240"/>
        <w:ind w:firstLine="540"/>
        <w:jc w:val="both"/>
      </w:pPr>
      <w:r>
        <w:lastRenderedPageBreak/>
        <w:t>Действительный</w:t>
      </w:r>
    </w:p>
    <w:p w:rsidR="00000000" w:rsidRDefault="00C9391F">
      <w:pPr>
        <w:pStyle w:val="ConsPlusNormal"/>
        <w:jc w:val="right"/>
      </w:pPr>
      <w:r>
        <w:t>государственный советник</w:t>
      </w:r>
    </w:p>
    <w:p w:rsidR="00000000" w:rsidRDefault="00C9391F">
      <w:pPr>
        <w:pStyle w:val="ConsPlusNormal"/>
        <w:jc w:val="right"/>
      </w:pPr>
      <w:r>
        <w:t>Российской Федерации</w:t>
      </w:r>
    </w:p>
    <w:p w:rsidR="00000000" w:rsidRDefault="00C9391F">
      <w:pPr>
        <w:pStyle w:val="ConsPlusNormal"/>
        <w:jc w:val="right"/>
      </w:pPr>
      <w:r>
        <w:t>2 класса</w:t>
      </w:r>
    </w:p>
    <w:p w:rsidR="00000000" w:rsidRDefault="00C9391F">
      <w:pPr>
        <w:pStyle w:val="ConsPlusNormal"/>
        <w:jc w:val="right"/>
      </w:pPr>
      <w:r>
        <w:t>А.В.ЕГОРИЧЕВ</w:t>
      </w:r>
    </w:p>
    <w:p w:rsidR="00000000" w:rsidRDefault="00C9391F">
      <w:pPr>
        <w:pStyle w:val="ConsPlusNormal"/>
        <w:jc w:val="both"/>
      </w:pPr>
    </w:p>
    <w:p w:rsidR="00000000" w:rsidRDefault="00C9391F">
      <w:pPr>
        <w:pStyle w:val="ConsPlusNormal"/>
        <w:jc w:val="both"/>
      </w:pPr>
    </w:p>
    <w:p w:rsidR="00C9391F" w:rsidRDefault="00C9391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C9391F">
      <w:headerReference w:type="default" r:id="rId32"/>
      <w:footerReference w:type="default" r:id="rId33"/>
      <w:headerReference w:type="first" r:id="rId34"/>
      <w:footerReference w:type="first" r:id="rId35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91F" w:rsidRDefault="00C9391F">
      <w:pPr>
        <w:spacing w:after="0" w:line="240" w:lineRule="auto"/>
      </w:pPr>
      <w:r>
        <w:separator/>
      </w:r>
    </w:p>
  </w:endnote>
  <w:endnote w:type="continuationSeparator" w:id="0">
    <w:p w:rsidR="00C9391F" w:rsidRDefault="00C93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9391F">
    <w:pPr>
      <w:pStyle w:val="ConsPlusNormal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525" w:rsidRDefault="007F7525">
    <w:pPr>
      <w:pStyle w:val="a5"/>
      <w:jc w:val="right"/>
    </w:pPr>
    <w:fldSimple w:instr=" PAGE   \* MERGEFORMAT ">
      <w:r w:rsidR="00C14D27">
        <w:rPr>
          <w:noProof/>
        </w:rPr>
        <w:t>1</w:t>
      </w:r>
    </w:fldSimple>
  </w:p>
  <w:p w:rsidR="00000000" w:rsidRDefault="00C9391F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91F" w:rsidRDefault="00C9391F">
      <w:pPr>
        <w:spacing w:after="0" w:line="240" w:lineRule="auto"/>
      </w:pPr>
      <w:r>
        <w:separator/>
      </w:r>
    </w:p>
  </w:footnote>
  <w:footnote w:type="continuationSeparator" w:id="0">
    <w:p w:rsidR="00C9391F" w:rsidRDefault="00C939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9391F">
    <w:pPr>
      <w:pStyle w:val="ConsPlusNormal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9391F">
    <w:pPr>
      <w:pStyle w:val="ConsPlusNormal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5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6F49"/>
    <w:rsid w:val="00196F49"/>
    <w:rsid w:val="00761346"/>
    <w:rsid w:val="007F7525"/>
    <w:rsid w:val="00A639B2"/>
    <w:rsid w:val="00C14D27"/>
    <w:rsid w:val="00C93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F752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F7525"/>
  </w:style>
  <w:style w:type="paragraph" w:styleId="a5">
    <w:name w:val="footer"/>
    <w:basedOn w:val="a"/>
    <w:link w:val="a6"/>
    <w:uiPriority w:val="99"/>
    <w:unhideWhenUsed/>
    <w:rsid w:val="007F752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F75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demo=2&amp;base=LAW&amp;n=475331&amp;date=11.06.2024&amp;dst=25297&amp;field=134" TargetMode="External"/><Relationship Id="rId13" Type="http://schemas.openxmlformats.org/officeDocument/2006/relationships/hyperlink" Target="https://login.consultant.ru/link/?req=doc&amp;demo=2&amp;base=LAW&amp;n=475331&amp;date=11.06.2024&amp;dst=25298&amp;field=134" TargetMode="External"/><Relationship Id="rId18" Type="http://schemas.openxmlformats.org/officeDocument/2006/relationships/hyperlink" Target="https://login.consultant.ru/link/?req=doc&amp;demo=2&amp;base=LAW&amp;n=475331&amp;date=11.06.2024&amp;dst=25298&amp;field=134" TargetMode="External"/><Relationship Id="rId26" Type="http://schemas.openxmlformats.org/officeDocument/2006/relationships/hyperlink" Target="https://login.consultant.ru/link/?req=doc&amp;demo=2&amp;base=LAW&amp;n=475331&amp;date=11.06.2024&amp;dst=25297&amp;field=13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demo=2&amp;base=LAW&amp;n=475331&amp;date=11.06.2024&amp;dst=100008&amp;field=134" TargetMode="External"/><Relationship Id="rId34" Type="http://schemas.openxmlformats.org/officeDocument/2006/relationships/header" Target="header2.xml"/><Relationship Id="rId7" Type="http://schemas.openxmlformats.org/officeDocument/2006/relationships/hyperlink" Target="https://login.consultant.ru/link/?req=doc&amp;demo=2&amp;base=LAW&amp;n=464798&amp;date=11.06.2024&amp;dst=100010&amp;field=134" TargetMode="External"/><Relationship Id="rId12" Type="http://schemas.openxmlformats.org/officeDocument/2006/relationships/hyperlink" Target="https://login.consultant.ru/link/?req=doc&amp;demo=2&amp;base=LAW&amp;n=475331&amp;date=11.06.2024&amp;dst=22174&amp;field=134" TargetMode="External"/><Relationship Id="rId17" Type="http://schemas.openxmlformats.org/officeDocument/2006/relationships/hyperlink" Target="https://login.consultant.ru/link/?req=doc&amp;demo=2&amp;base=LAW&amp;n=475331&amp;date=11.06.2024&amp;dst=25297&amp;field=134" TargetMode="External"/><Relationship Id="rId25" Type="http://schemas.openxmlformats.org/officeDocument/2006/relationships/hyperlink" Target="https://login.consultant.ru/link/?req=doc&amp;demo=2&amp;base=LAW&amp;n=382295&amp;date=11.06.2024&amp;dst=100034&amp;field=134" TargetMode="External"/><Relationship Id="rId3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demo=2&amp;base=LAW&amp;n=475331&amp;date=11.06.2024&amp;dst=25298&amp;field=134" TargetMode="External"/><Relationship Id="rId20" Type="http://schemas.openxmlformats.org/officeDocument/2006/relationships/hyperlink" Target="https://login.consultant.ru/link/?req=doc&amp;demo=2&amp;base=LAW&amp;n=475331&amp;date=11.06.2024&amp;dst=16223&amp;field=134" TargetMode="External"/><Relationship Id="rId29" Type="http://schemas.openxmlformats.org/officeDocument/2006/relationships/hyperlink" Target="https://login.consultant.ru/link/?req=doc&amp;demo=2&amp;base=LAW&amp;n=475331&amp;date=11.06.2024&amp;dst=25304&amp;field=13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demo=2&amp;base=LAW&amp;n=475331&amp;date=11.06.2024&amp;dst=100232&amp;field=134" TargetMode="External"/><Relationship Id="rId11" Type="http://schemas.openxmlformats.org/officeDocument/2006/relationships/hyperlink" Target="https://login.consultant.ru/link/?req=doc&amp;demo=2&amp;base=LAW&amp;n=471848&amp;date=11.06.2024&amp;dst=101173&amp;field=134" TargetMode="External"/><Relationship Id="rId24" Type="http://schemas.openxmlformats.org/officeDocument/2006/relationships/hyperlink" Target="https://login.consultant.ru/link/?req=doc&amp;demo=2&amp;base=LAW&amp;n=475331&amp;date=11.06.2024&amp;dst=25298&amp;field=134" TargetMode="External"/><Relationship Id="rId32" Type="http://schemas.openxmlformats.org/officeDocument/2006/relationships/header" Target="header1.xml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demo=2&amp;base=LAW&amp;n=475331&amp;date=11.06.2024&amp;dst=25297&amp;field=134" TargetMode="External"/><Relationship Id="rId23" Type="http://schemas.openxmlformats.org/officeDocument/2006/relationships/hyperlink" Target="https://login.consultant.ru/link/?req=doc&amp;demo=2&amp;base=LAW&amp;n=475331&amp;date=11.06.2024&amp;dst=25297&amp;field=134" TargetMode="External"/><Relationship Id="rId28" Type="http://schemas.openxmlformats.org/officeDocument/2006/relationships/hyperlink" Target="https://login.consultant.ru/link/?req=doc&amp;demo=2&amp;base=LAW&amp;n=475331&amp;date=11.06.2024&amp;dst=25298&amp;field=134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login.consultant.ru/link/?req=doc&amp;demo=2&amp;base=LAW&amp;n=475331&amp;date=11.06.2024&amp;dst=25297&amp;field=134" TargetMode="External"/><Relationship Id="rId19" Type="http://schemas.openxmlformats.org/officeDocument/2006/relationships/hyperlink" Target="https://login.consultant.ru/link/?req=doc&amp;demo=2&amp;base=LAW&amp;n=464798&amp;date=11.06.2024&amp;dst=100023&amp;field=134" TargetMode="External"/><Relationship Id="rId31" Type="http://schemas.openxmlformats.org/officeDocument/2006/relationships/hyperlink" Target="https://login.consultant.ru/link/?req=doc&amp;demo=2&amp;base=LAW&amp;n=475331&amp;date=11.06.2024&amp;dst=25305&amp;field=1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demo=2&amp;base=LAW&amp;n=472841&amp;date=11.06.2024&amp;dst=1540&amp;field=134" TargetMode="External"/><Relationship Id="rId14" Type="http://schemas.openxmlformats.org/officeDocument/2006/relationships/hyperlink" Target="https://login.consultant.ru/link/?req=doc&amp;demo=2&amp;base=LAW&amp;n=472841&amp;date=11.06.2024&amp;dst=1540&amp;field=134" TargetMode="External"/><Relationship Id="rId22" Type="http://schemas.openxmlformats.org/officeDocument/2006/relationships/hyperlink" Target="https://login.consultant.ru/link/?req=doc&amp;demo=2&amp;base=LAW&amp;n=475331&amp;date=11.06.2024&amp;dst=25298&amp;field=134" TargetMode="External"/><Relationship Id="rId27" Type="http://schemas.openxmlformats.org/officeDocument/2006/relationships/hyperlink" Target="https://login.consultant.ru/link/?req=doc&amp;demo=2&amp;base=LAW&amp;n=475331&amp;date=11.06.2024&amp;dst=25297&amp;field=134" TargetMode="External"/><Relationship Id="rId30" Type="http://schemas.openxmlformats.org/officeDocument/2006/relationships/hyperlink" Target="https://login.consultant.ru/link/?req=doc&amp;demo=2&amp;base=LAW&amp;n=475331&amp;date=11.06.2024&amp;dst=25298&amp;field=134" TargetMode="External"/><Relationship Id="rId35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1379</Words>
  <Characters>7865</Characters>
  <Application>Microsoft Office Word</Application>
  <DocSecurity>2</DocSecurity>
  <Lines>65</Lines>
  <Paragraphs>18</Paragraphs>
  <ScaleCrop>false</ScaleCrop>
  <Company>КонсультантПлюс Версия 4023.00.50</Company>
  <LinksUpToDate>false</LinksUpToDate>
  <CharactersWithSpaces>9226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ФНС России от 06.06.2024 N ЕА-4-3/6295@"О порядке применения налога на добавленную стоимость при реализации транспортных средств, приобретенных у физических лиц"</dc:title>
  <dc:creator>Пользователь Windows</dc:creator>
  <cp:lastModifiedBy>Пользователь Windows</cp:lastModifiedBy>
  <cp:revision>5</cp:revision>
  <dcterms:created xsi:type="dcterms:W3CDTF">2024-06-11T10:13:00Z</dcterms:created>
  <dcterms:modified xsi:type="dcterms:W3CDTF">2024-06-11T10:17:00Z</dcterms:modified>
</cp:coreProperties>
</file>