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0863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получении социального вычета по НДФЛ при перечислении пожертвований благотворительным организациям.</w:t>
      </w:r>
    </w:p>
    <w:p w:rsidR="00000000" w:rsidRDefault="00C80863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C80863">
      <w:pPr>
        <w:pStyle w:val="ConsPlusTitle"/>
        <w:spacing w:before="240"/>
        <w:jc w:val="center"/>
      </w:pPr>
      <w:r>
        <w:t>МИНИСТЕРСТВО ФИНАН</w:t>
      </w:r>
      <w:r>
        <w:t>СОВ РОССИЙСКОЙ ФЕДЕРАЦИИ</w:t>
      </w:r>
    </w:p>
    <w:p w:rsidR="00000000" w:rsidRDefault="00C80863">
      <w:pPr>
        <w:pStyle w:val="ConsPlusTitle"/>
        <w:jc w:val="center"/>
      </w:pPr>
    </w:p>
    <w:p w:rsidR="00000000" w:rsidRDefault="00C80863">
      <w:pPr>
        <w:pStyle w:val="ConsPlusTitle"/>
        <w:jc w:val="center"/>
      </w:pPr>
      <w:r>
        <w:t>ПИСЬМО</w:t>
      </w:r>
    </w:p>
    <w:p w:rsidR="00000000" w:rsidRDefault="00C80863">
      <w:pPr>
        <w:pStyle w:val="ConsPlusTitle"/>
        <w:jc w:val="center"/>
      </w:pPr>
      <w:r>
        <w:t>от 30 сентября 2019 г. N 03-04-05/74903</w:t>
      </w:r>
    </w:p>
    <w:p w:rsidR="00000000" w:rsidRDefault="00C80863">
      <w:pPr>
        <w:pStyle w:val="ConsPlusNormal"/>
        <w:jc w:val="both"/>
      </w:pPr>
    </w:p>
    <w:p w:rsidR="00000000" w:rsidRDefault="00C80863">
      <w:pPr>
        <w:pStyle w:val="ConsPlusNormal"/>
        <w:ind w:firstLine="540"/>
        <w:jc w:val="both"/>
      </w:pPr>
      <w:proofErr w:type="gramStart"/>
      <w:r>
        <w:t xml:space="preserve">Департамент налоговой и таможенной политики рассмотрел обращение от 30.07.2019 и сообщает, что в соответствии с </w:t>
      </w:r>
      <w:hyperlink r:id="rId6" w:history="1">
        <w:r>
          <w:rPr>
            <w:color w:val="0000FF"/>
          </w:rPr>
          <w:t>Регламентом</w:t>
        </w:r>
      </w:hyperlink>
      <w:r>
        <w:t xml:space="preserve"> Министерства финансов Российской Федерации, утвержденным приказом Министерства финансов Российской Федерации от 14.09.2018 N 19</w:t>
      </w:r>
      <w:r>
        <w:t>4н, в Министерстве финансов Российской Федерации, если законодательством не установлено иное, не рассматриваются по существу обращения по разъяснению (толкованию норм, терминов и понятий) законодательства Российской Федерации и практики его применения, по</w:t>
      </w:r>
      <w:proofErr w:type="gramEnd"/>
      <w:r>
        <w:t xml:space="preserve"> </w:t>
      </w:r>
      <w:r>
        <w:t>практике применения нормативных правовых актов Министерства, по проведению экспертизы договоров, учредительных и иных документов организаций, по оценке конкретных хозяйственных ситуаций.</w:t>
      </w:r>
    </w:p>
    <w:p w:rsidR="00000000" w:rsidRDefault="00C80863">
      <w:pPr>
        <w:pStyle w:val="ConsPlusNormal"/>
        <w:spacing w:before="240"/>
        <w:ind w:firstLine="540"/>
        <w:jc w:val="both"/>
      </w:pPr>
      <w:r>
        <w:t xml:space="preserve">Вместе с тем в соответствии со </w:t>
      </w:r>
      <w:hyperlink r:id="rId7" w:history="1">
        <w:r>
          <w:rPr>
            <w:color w:val="0000FF"/>
          </w:rPr>
          <w:t>статьей 34.2</w:t>
        </w:r>
      </w:hyperlink>
      <w:r>
        <w:t xml:space="preserve"> Налогового кодекса Российской Федерации (далее - Кодекс) по вопросу получения социального налогового вычета по налогу на доходы физических лиц разъясняем следующее.</w:t>
      </w:r>
    </w:p>
    <w:p w:rsidR="00000000" w:rsidRDefault="00C80863">
      <w:pPr>
        <w:pStyle w:val="ConsPlusNormal"/>
        <w:spacing w:before="240"/>
        <w:ind w:firstLine="540"/>
        <w:jc w:val="both"/>
      </w:pPr>
      <w:proofErr w:type="gramStart"/>
      <w:r>
        <w:t>С</w:t>
      </w:r>
      <w:r>
        <w:t xml:space="preserve">огласно </w:t>
      </w:r>
      <w:hyperlink r:id="rId8" w:history="1">
        <w:r>
          <w:rPr>
            <w:color w:val="0000FF"/>
          </w:rPr>
          <w:t>пункту 3 статьи 210</w:t>
        </w:r>
      </w:hyperlink>
      <w:r>
        <w:t xml:space="preserve"> Кодекса для доходов, в отношении которых предусмотрена налоговая ставка, установленная </w:t>
      </w:r>
      <w:hyperlink r:id="rId9" w:history="1">
        <w:r>
          <w:rPr>
            <w:color w:val="0000FF"/>
          </w:rPr>
          <w:t>пунктом 1 статьи 224</w:t>
        </w:r>
      </w:hyperlink>
      <w:r>
        <w:t xml:space="preserve"> Кодекса, налоговая база по налогу на доходы физических лиц определяется как денежное выражение таких доходов, подлежащих налогообложению, умень</w:t>
      </w:r>
      <w:r>
        <w:t xml:space="preserve">шенных, в частности, на сумму налоговых вычетов, предусмотренных </w:t>
      </w:r>
      <w:hyperlink r:id="rId10" w:history="1">
        <w:r>
          <w:rPr>
            <w:color w:val="0000FF"/>
          </w:rPr>
          <w:t>статьей 219</w:t>
        </w:r>
      </w:hyperlink>
      <w:r>
        <w:t xml:space="preserve"> Кодекса, с учетом особенностей, установленных главой 23 "Налог</w:t>
      </w:r>
      <w:r>
        <w:t xml:space="preserve"> на доходы физических лиц" Кодекса.</w:t>
      </w:r>
      <w:proofErr w:type="gramEnd"/>
    </w:p>
    <w:p w:rsidR="00000000" w:rsidRDefault="00C80863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подпунктом 1 пункта 1 статьи 219</w:t>
        </w:r>
      </w:hyperlink>
      <w:r>
        <w:t xml:space="preserve"> Кодекса </w:t>
      </w:r>
      <w:proofErr w:type="gramStart"/>
      <w:r>
        <w:t>при определении размера налоговой базы по налог</w:t>
      </w:r>
      <w:r>
        <w:t xml:space="preserve">у на доходы физических лиц в соответствии с </w:t>
      </w:r>
      <w:hyperlink r:id="rId12" w:history="1">
        <w:r>
          <w:rPr>
            <w:color w:val="0000FF"/>
          </w:rPr>
          <w:t>пунктом</w:t>
        </w:r>
        <w:proofErr w:type="gramEnd"/>
        <w:r>
          <w:rPr>
            <w:color w:val="0000FF"/>
          </w:rPr>
          <w:t xml:space="preserve"> 3 статьи 210</w:t>
        </w:r>
      </w:hyperlink>
      <w:r>
        <w:t xml:space="preserve"> Кодекса налогоплательщик имеет право на получение социального налогового вы</w:t>
      </w:r>
      <w:r>
        <w:t>чета в сумме доходов, в частности, перечисляемых налогоплательщиком в виде пожертвований благотворительным организациям.</w:t>
      </w:r>
    </w:p>
    <w:p w:rsidR="00000000" w:rsidRDefault="00C80863">
      <w:pPr>
        <w:pStyle w:val="ConsPlusNormal"/>
        <w:spacing w:before="240"/>
        <w:ind w:firstLine="540"/>
        <w:jc w:val="both"/>
      </w:pPr>
      <w:r>
        <w:t xml:space="preserve">Указанный в </w:t>
      </w:r>
      <w:hyperlink r:id="rId13" w:history="1">
        <w:r>
          <w:rPr>
            <w:color w:val="0000FF"/>
          </w:rPr>
          <w:t>подпункте 1</w:t>
        </w:r>
        <w:r>
          <w:rPr>
            <w:color w:val="0000FF"/>
          </w:rPr>
          <w:t xml:space="preserve"> пункта 1 статьи 219</w:t>
        </w:r>
      </w:hyperlink>
      <w:r>
        <w:t xml:space="preserve"> Кодекса вычет предоставляется </w:t>
      </w:r>
      <w:r w:rsidRPr="00691A92">
        <w:rPr>
          <w:highlight w:val="yellow"/>
        </w:rPr>
        <w:t>в размере фактически произведенных расходов, но не более 25 процентов суммы дохода, полученного в налоговом периоде</w:t>
      </w:r>
      <w:r>
        <w:t xml:space="preserve"> и подлежащего налогообложению. </w:t>
      </w:r>
      <w:proofErr w:type="gramStart"/>
      <w:r>
        <w:t>Если получателями пожертвований являются государственны</w:t>
      </w:r>
      <w:r>
        <w:t>е и муниципальные учреждения, осуществляющие деятельность в области культуры, а также некоммерческие организации (фонды) в случае перечисления им пожертвований на формирование целевого капитала в целях поддержки указанных учреждений, предельный размер выче</w:t>
      </w:r>
      <w:r>
        <w:t>та, установленный настоящим абзацем, может быть увеличен законом субъекта Российской Федерации до 30 процентов суммы дохода, полученного в налоговом периоде и подлежащего налогообложению.</w:t>
      </w:r>
      <w:proofErr w:type="gramEnd"/>
      <w:r>
        <w:t xml:space="preserve"> Указанным законом субъекта Российской Федерации также могут быть уст</w:t>
      </w:r>
      <w:r>
        <w:t>ановлены категории государственных, муниципальных учреждений, осуществляющих деятельность в области культуры, и некоммерческих организаций (фондов), пожертвования которым могут быть приняты к вычету в увеличенном предельном размере.</w:t>
      </w:r>
    </w:p>
    <w:p w:rsidR="00000000" w:rsidRDefault="00C80863">
      <w:pPr>
        <w:pStyle w:val="ConsPlusNormal"/>
        <w:spacing w:before="240"/>
        <w:ind w:firstLine="540"/>
        <w:jc w:val="both"/>
      </w:pPr>
      <w:r>
        <w:t xml:space="preserve">Одновременно сообщаем, </w:t>
      </w:r>
      <w:r>
        <w:t xml:space="preserve">что </w:t>
      </w:r>
      <w:r w:rsidRPr="003255C9">
        <w:rPr>
          <w:highlight w:val="yellow"/>
        </w:rPr>
        <w:t xml:space="preserve">в отношении доходов в виде дивидендов налоговые вычеты, предусмотренные </w:t>
      </w:r>
      <w:hyperlink r:id="rId14" w:history="1">
        <w:r w:rsidRPr="003255C9">
          <w:rPr>
            <w:color w:val="0000FF"/>
            <w:highlight w:val="yellow"/>
          </w:rPr>
          <w:t>статьями 218</w:t>
        </w:r>
      </w:hyperlink>
      <w:r w:rsidRPr="003255C9">
        <w:rPr>
          <w:highlight w:val="yellow"/>
        </w:rPr>
        <w:t xml:space="preserve"> - </w:t>
      </w:r>
      <w:hyperlink r:id="rId15" w:history="1">
        <w:r w:rsidRPr="003255C9">
          <w:rPr>
            <w:color w:val="0000FF"/>
            <w:highlight w:val="yellow"/>
          </w:rPr>
          <w:t>221</w:t>
        </w:r>
      </w:hyperlink>
      <w:r w:rsidRPr="003255C9">
        <w:rPr>
          <w:highlight w:val="yellow"/>
        </w:rPr>
        <w:t xml:space="preserve"> Кодекса, не применяются (</w:t>
      </w:r>
      <w:hyperlink r:id="rId16" w:history="1">
        <w:r w:rsidRPr="003255C9">
          <w:rPr>
            <w:color w:val="0000FF"/>
            <w:highlight w:val="yellow"/>
          </w:rPr>
          <w:t>пункт 3 статьи 210</w:t>
        </w:r>
      </w:hyperlink>
      <w:r w:rsidRPr="003255C9">
        <w:rPr>
          <w:highlight w:val="yellow"/>
        </w:rPr>
        <w:t xml:space="preserve"> Кодекса).</w:t>
      </w:r>
    </w:p>
    <w:p w:rsidR="00000000" w:rsidRDefault="00C80863">
      <w:pPr>
        <w:pStyle w:val="ConsPlusNormal"/>
        <w:spacing w:before="240"/>
        <w:ind w:firstLine="540"/>
        <w:jc w:val="both"/>
      </w:pPr>
      <w:r>
        <w:lastRenderedPageBreak/>
        <w:t>Настоящее письмо Департамента не содержит правовых норм, не конкретизирует нормативные предписания и не является нормативным правовым актом. Письменные разъяснения Минфина России по вопросам применения законодательства Российской Федерации о налогах и сбор</w:t>
      </w:r>
      <w:r>
        <w:t>ах, направленные налогоплательщикам и (или) налоговым агентам, имеют информационно-разъяснительный характер и не препятствуют налогоплательщикам, налоговым органам и налоговым агентам руководствоваться нормами законодательства Российской Федерации о налога</w:t>
      </w:r>
      <w:r>
        <w:t>х и сборах в понимании, отличающемся от трактовки, изложенной в настоящем письме.</w:t>
      </w:r>
    </w:p>
    <w:p w:rsidR="00000000" w:rsidRDefault="00C80863">
      <w:pPr>
        <w:pStyle w:val="ConsPlusNormal"/>
        <w:jc w:val="both"/>
      </w:pPr>
    </w:p>
    <w:p w:rsidR="00000000" w:rsidRDefault="00C80863">
      <w:pPr>
        <w:pStyle w:val="ConsPlusNormal"/>
        <w:jc w:val="right"/>
      </w:pPr>
      <w:r>
        <w:t>Заместитель директора Департамента</w:t>
      </w:r>
    </w:p>
    <w:p w:rsidR="00000000" w:rsidRDefault="00C80863">
      <w:pPr>
        <w:pStyle w:val="ConsPlusNormal"/>
        <w:jc w:val="right"/>
      </w:pPr>
      <w:r>
        <w:t>Р.А.СААКЯН</w:t>
      </w:r>
    </w:p>
    <w:p w:rsidR="00000000" w:rsidRDefault="00C80863">
      <w:pPr>
        <w:pStyle w:val="ConsPlusNormal"/>
      </w:pPr>
      <w:r>
        <w:t>30.09.2019</w:t>
      </w:r>
    </w:p>
    <w:p w:rsidR="00000000" w:rsidRDefault="00C80863">
      <w:pPr>
        <w:pStyle w:val="ConsPlusNormal"/>
        <w:jc w:val="both"/>
      </w:pPr>
    </w:p>
    <w:p w:rsidR="00000000" w:rsidRDefault="00C80863">
      <w:pPr>
        <w:pStyle w:val="ConsPlusNormal"/>
        <w:jc w:val="both"/>
      </w:pPr>
    </w:p>
    <w:p w:rsidR="00C80863" w:rsidRDefault="00C80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80863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863" w:rsidRDefault="00C80863" w:rsidP="001322D8">
      <w:pPr>
        <w:spacing w:after="0" w:line="240" w:lineRule="auto"/>
      </w:pPr>
      <w:r>
        <w:separator/>
      </w:r>
    </w:p>
  </w:endnote>
  <w:endnote w:type="continuationSeparator" w:id="0">
    <w:p w:rsidR="00C80863" w:rsidRDefault="00C80863" w:rsidP="0013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80863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 w:rsidRPr="00C80863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80863" w:rsidRDefault="00C80863">
          <w:pPr>
            <w:pStyle w:val="ConsPlusNormal"/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 w:rsidRPr="00C80863"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 w:rsidRPr="00C80863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80863" w:rsidRDefault="00C80863">
          <w:pPr>
            <w:pStyle w:val="ConsPlusNormal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C80863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80863" w:rsidRDefault="00C80863">
          <w:pPr>
            <w:pStyle w:val="ConsPlusNormal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C80863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C80863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C80863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="00257DD4" w:rsidRPr="00C80863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3255C9" w:rsidRPr="00C80863">
            <w:rPr>
              <w:rFonts w:ascii="Tahoma" w:eastAsiaTheme="minorEastAsia" w:hAnsi="Tahoma" w:cs="Tahoma"/>
              <w:noProof/>
              <w:sz w:val="20"/>
              <w:szCs w:val="20"/>
            </w:rPr>
            <w:t>2</w:t>
          </w:r>
          <w:r w:rsidRPr="00C80863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C80863">
            <w:rPr>
              <w:rFonts w:ascii="Tahoma" w:eastAsiaTheme="minorEastAsia" w:hAnsi="Tahoma" w:cs="Tahoma"/>
              <w:sz w:val="20"/>
              <w:szCs w:val="20"/>
            </w:rPr>
            <w:t xml:space="preserve"> из </w:t>
          </w:r>
          <w:r w:rsidRPr="00C80863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C80863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="00257DD4" w:rsidRPr="00C80863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 w:rsidR="003255C9" w:rsidRPr="00C80863">
            <w:rPr>
              <w:rFonts w:ascii="Tahoma" w:eastAsiaTheme="minorEastAsia" w:hAnsi="Tahoma" w:cs="Tahoma"/>
              <w:noProof/>
              <w:sz w:val="20"/>
              <w:szCs w:val="20"/>
            </w:rPr>
            <w:t>2</w:t>
          </w:r>
          <w:r w:rsidRPr="00C80863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C80863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80863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863" w:rsidRDefault="00C80863" w:rsidP="001322D8">
      <w:pPr>
        <w:spacing w:after="0" w:line="240" w:lineRule="auto"/>
      </w:pPr>
      <w:r>
        <w:separator/>
      </w:r>
    </w:p>
  </w:footnote>
  <w:footnote w:type="continuationSeparator" w:id="0">
    <w:p w:rsidR="00C80863" w:rsidRDefault="00C80863" w:rsidP="00132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80863">
    <w:pPr>
      <w:pStyle w:val="ConsPlusNormal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80863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0C6"/>
    <w:rsid w:val="000D50C6"/>
    <w:rsid w:val="00257DD4"/>
    <w:rsid w:val="003255C9"/>
    <w:rsid w:val="00691A92"/>
    <w:rsid w:val="00C80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334305&amp;date=01.06.2024&amp;dst=17317&amp;field=134" TargetMode="External"/><Relationship Id="rId13" Type="http://schemas.openxmlformats.org/officeDocument/2006/relationships/hyperlink" Target="https://login.consultant.ru/link/?req=doc&amp;demo=2&amp;base=LAW&amp;n=334305&amp;date=01.06.2024&amp;dst=7285&amp;field=134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demo=2&amp;base=LAW&amp;n=334395&amp;date=01.06.2024&amp;dst=3879&amp;field=134" TargetMode="External"/><Relationship Id="rId12" Type="http://schemas.openxmlformats.org/officeDocument/2006/relationships/hyperlink" Target="https://login.consultant.ru/link/?req=doc&amp;demo=2&amp;base=LAW&amp;n=334305&amp;date=01.06.2024&amp;dst=17317&amp;field=134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demo=2&amp;base=LAW&amp;n=334305&amp;date=01.06.2024&amp;dst=15033&amp;field=134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326830&amp;date=01.06.2024&amp;dst=100509&amp;field=134" TargetMode="External"/><Relationship Id="rId11" Type="http://schemas.openxmlformats.org/officeDocument/2006/relationships/hyperlink" Target="https://login.consultant.ru/link/?req=doc&amp;demo=2&amp;base=LAW&amp;n=334305&amp;date=01.06.2024&amp;dst=7285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demo=2&amp;base=LAW&amp;n=334305&amp;date=01.06.2024&amp;dst=101375&amp;field=134" TargetMode="External"/><Relationship Id="rId10" Type="http://schemas.openxmlformats.org/officeDocument/2006/relationships/hyperlink" Target="https://login.consultant.ru/link/?req=doc&amp;demo=2&amp;base=LAW&amp;n=334305&amp;date=01.06.2024&amp;dst=101346&amp;field=134" TargetMode="Externa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LAW&amp;n=334305&amp;date=01.06.2024&amp;dst=101442&amp;field=134" TargetMode="External"/><Relationship Id="rId14" Type="http://schemas.openxmlformats.org/officeDocument/2006/relationships/hyperlink" Target="https://login.consultant.ru/link/?req=doc&amp;demo=2&amp;base=LAW&amp;n=334305&amp;date=01.06.2024&amp;dst=101301&amp;field=134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755</Words>
  <Characters>4304</Characters>
  <Application>Microsoft Office Word</Application>
  <DocSecurity>2</DocSecurity>
  <Lines>35</Lines>
  <Paragraphs>10</Paragraphs>
  <ScaleCrop>false</ScaleCrop>
  <Company>КонсультантПлюс Версия 4023.00.50</Company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получении социального вычета по НДФЛ при перечислении пожертвований благотворительным организациям.(Письмо Минфина России от 30.09.2019 N 03-04-05/74903)</dc:title>
  <dc:creator>Пользователь Windows</dc:creator>
  <cp:lastModifiedBy>Пользователь Windows</cp:lastModifiedBy>
  <cp:revision>4</cp:revision>
  <dcterms:created xsi:type="dcterms:W3CDTF">2024-06-01T09:40:00Z</dcterms:created>
  <dcterms:modified xsi:type="dcterms:W3CDTF">2024-06-01T09:42:00Z</dcterms:modified>
</cp:coreProperties>
</file>